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2C5F" w14:textId="77777777" w:rsidR="000B2677" w:rsidRDefault="000B2677"/>
    <w:tbl>
      <w:tblPr>
        <w:tblStyle w:val="TableGrid"/>
        <w:tblW w:w="10485" w:type="dxa"/>
        <w:tblLayout w:type="fixed"/>
        <w:tblLook w:val="04A0" w:firstRow="1" w:lastRow="0" w:firstColumn="1" w:lastColumn="0" w:noHBand="0" w:noVBand="1"/>
      </w:tblPr>
      <w:tblGrid>
        <w:gridCol w:w="5093"/>
        <w:gridCol w:w="300"/>
        <w:gridCol w:w="5092"/>
      </w:tblGrid>
      <w:tr w:rsidR="00EA241A" w14:paraId="6E955AEC"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5065769E" w14:textId="2E2584A8" w:rsidR="00EA241A" w:rsidRPr="00EA241A" w:rsidRDefault="003C345B" w:rsidP="00EA241A">
            <w:pPr>
              <w:jc w:val="center"/>
              <w:rPr>
                <w:rFonts w:ascii="Arial" w:hAnsi="Arial" w:cs="Arial"/>
                <w:b/>
                <w:bCs/>
                <w:color w:val="FFFFFF" w:themeColor="background1"/>
              </w:rPr>
            </w:pPr>
            <w:r>
              <w:rPr>
                <w:rFonts w:ascii="Arial" w:hAnsi="Arial" w:cs="Arial"/>
                <w:b/>
                <w:bCs/>
                <w:color w:val="FFFFFF" w:themeColor="background1"/>
              </w:rPr>
              <w:t>OOC</w:t>
            </w:r>
            <w:r w:rsidR="00501D69">
              <w:rPr>
                <w:rFonts w:ascii="Arial" w:hAnsi="Arial" w:cs="Arial"/>
                <w:b/>
                <w:bCs/>
                <w:color w:val="FFFFFF" w:themeColor="background1"/>
              </w:rPr>
              <w:t>R</w:t>
            </w:r>
            <w:r>
              <w:rPr>
                <w:rFonts w:ascii="Arial" w:hAnsi="Arial" w:cs="Arial"/>
                <w:b/>
                <w:bCs/>
                <w:color w:val="FFFFFF" w:themeColor="background1"/>
              </w:rPr>
              <w:t xml:space="preserve"> Scrutiny Panel Date</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F846263"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4BF6BBE" w14:textId="2DC2CFF9" w:rsidR="00EA241A" w:rsidRPr="00EA241A" w:rsidRDefault="00EA241A" w:rsidP="00EA241A">
            <w:pPr>
              <w:jc w:val="center"/>
              <w:rPr>
                <w:color w:val="FFFFFF" w:themeColor="background1"/>
              </w:rPr>
            </w:pPr>
            <w:r>
              <w:rPr>
                <w:rFonts w:ascii="Arial" w:hAnsi="Arial" w:cs="Arial"/>
                <w:b/>
                <w:bCs/>
                <w:color w:val="FFFFFF" w:themeColor="background1"/>
              </w:rPr>
              <w:t xml:space="preserve">Overall </w:t>
            </w:r>
            <w:r w:rsidR="003C345B">
              <w:rPr>
                <w:rFonts w:ascii="Arial" w:hAnsi="Arial" w:cs="Arial"/>
                <w:b/>
                <w:bCs/>
                <w:color w:val="FFFFFF" w:themeColor="background1"/>
              </w:rPr>
              <w:t>C</w:t>
            </w:r>
            <w:r>
              <w:rPr>
                <w:rFonts w:ascii="Arial" w:hAnsi="Arial" w:cs="Arial"/>
                <w:b/>
                <w:bCs/>
                <w:color w:val="FFFFFF" w:themeColor="background1"/>
              </w:rPr>
              <w:t xml:space="preserve">ompliance </w:t>
            </w:r>
            <w:r w:rsidR="003C345B">
              <w:rPr>
                <w:rFonts w:ascii="Arial" w:hAnsi="Arial" w:cs="Arial"/>
                <w:b/>
                <w:bCs/>
                <w:color w:val="FFFFFF" w:themeColor="background1"/>
              </w:rPr>
              <w:t>R</w:t>
            </w:r>
            <w:r>
              <w:rPr>
                <w:rFonts w:ascii="Arial" w:hAnsi="Arial" w:cs="Arial"/>
                <w:b/>
                <w:bCs/>
                <w:color w:val="FFFFFF" w:themeColor="background1"/>
              </w:rPr>
              <w:t>ate</w:t>
            </w:r>
          </w:p>
        </w:tc>
      </w:tr>
      <w:tr w:rsidR="00EA241A" w14:paraId="73348F4B" w14:textId="77777777" w:rsidTr="00A01D3D">
        <w:trPr>
          <w:trHeight w:val="1985"/>
        </w:trPr>
        <w:tc>
          <w:tcPr>
            <w:tcW w:w="5093"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72CDF629" w14:textId="1552F8BF" w:rsidR="00EA241A" w:rsidRPr="00FC0F7F" w:rsidRDefault="001C2D1D" w:rsidP="001C2D1D">
            <w:pPr>
              <w:jc w:val="center"/>
              <w:rPr>
                <w:rFonts w:ascii="Arial" w:hAnsi="Arial" w:cs="Arial"/>
                <w:b/>
                <w:bCs/>
                <w:sz w:val="48"/>
                <w:szCs w:val="48"/>
              </w:rPr>
            </w:pPr>
            <w:r>
              <w:rPr>
                <w:rFonts w:ascii="Arial" w:hAnsi="Arial" w:cs="Arial"/>
                <w:b/>
                <w:bCs/>
                <w:color w:val="113274"/>
                <w:sz w:val="48"/>
                <w:szCs w:val="48"/>
              </w:rPr>
              <w:t xml:space="preserve">3 </w:t>
            </w:r>
            <w:r w:rsidR="00463CD9">
              <w:rPr>
                <w:rFonts w:ascii="Arial" w:hAnsi="Arial" w:cs="Arial"/>
                <w:b/>
                <w:bCs/>
                <w:color w:val="113274"/>
                <w:sz w:val="48"/>
                <w:szCs w:val="48"/>
              </w:rPr>
              <w:t>March</w:t>
            </w:r>
            <w:r>
              <w:rPr>
                <w:rFonts w:ascii="Arial" w:hAnsi="Arial" w:cs="Arial"/>
                <w:b/>
                <w:bCs/>
                <w:color w:val="113274"/>
                <w:sz w:val="48"/>
                <w:szCs w:val="48"/>
              </w:rPr>
              <w:t xml:space="preserve"> 2025</w:t>
            </w:r>
          </w:p>
        </w:tc>
        <w:tc>
          <w:tcPr>
            <w:tcW w:w="300" w:type="dxa"/>
            <w:tcBorders>
              <w:top w:val="single" w:sz="4" w:space="0" w:color="FFFFFF" w:themeColor="background1"/>
              <w:left w:val="single" w:sz="4" w:space="0" w:color="D7D8EA"/>
              <w:bottom w:val="single" w:sz="4" w:space="0" w:color="FFFFFF" w:themeColor="background1"/>
              <w:right w:val="single" w:sz="4" w:space="0" w:color="D7D8EA"/>
            </w:tcBorders>
          </w:tcPr>
          <w:p w14:paraId="6269686C" w14:textId="77777777" w:rsidR="00EA241A" w:rsidRDefault="00EA241A"/>
        </w:tc>
        <w:tc>
          <w:tcPr>
            <w:tcW w:w="5092"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00D7D5DF" w14:textId="502C057F" w:rsidR="00EA241A" w:rsidRPr="00FC0F7F" w:rsidRDefault="0061501B" w:rsidP="00FC0F7F">
            <w:pPr>
              <w:jc w:val="center"/>
              <w:rPr>
                <w:sz w:val="96"/>
                <w:szCs w:val="96"/>
              </w:rPr>
            </w:pPr>
            <w:r>
              <w:rPr>
                <w:rFonts w:ascii="Arial" w:hAnsi="Arial" w:cs="Arial"/>
                <w:b/>
                <w:bCs/>
                <w:color w:val="113274"/>
                <w:sz w:val="96"/>
                <w:szCs w:val="96"/>
              </w:rPr>
              <w:t>100</w:t>
            </w:r>
            <w:r w:rsidR="00FC0F7F" w:rsidRPr="00FC0F7F">
              <w:rPr>
                <w:rFonts w:ascii="Arial" w:hAnsi="Arial" w:cs="Arial"/>
                <w:b/>
                <w:bCs/>
                <w:color w:val="113274"/>
                <w:sz w:val="96"/>
                <w:szCs w:val="96"/>
              </w:rPr>
              <w:t>%</w:t>
            </w:r>
          </w:p>
        </w:tc>
      </w:tr>
      <w:tr w:rsidR="00EA241A" w14:paraId="6ECF4ECF" w14:textId="77777777" w:rsidTr="00A01D3D">
        <w:tc>
          <w:tcPr>
            <w:tcW w:w="5093" w:type="dxa"/>
            <w:tcBorders>
              <w:top w:val="single" w:sz="4" w:space="0" w:color="D7D8EA"/>
              <w:left w:val="single" w:sz="4" w:space="0" w:color="FFFFFF" w:themeColor="background1"/>
              <w:bottom w:val="single" w:sz="4" w:space="0" w:color="113274"/>
              <w:right w:val="single" w:sz="4" w:space="0" w:color="FFFFFF" w:themeColor="background1"/>
            </w:tcBorders>
          </w:tcPr>
          <w:p w14:paraId="426A34CC" w14:textId="77777777" w:rsidR="00EA241A" w:rsidRDefault="00EA241A"/>
        </w:tc>
        <w:tc>
          <w:tcPr>
            <w:tcW w:w="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78418F" w14:textId="77777777" w:rsidR="00EA241A" w:rsidRDefault="00EA241A"/>
        </w:tc>
        <w:tc>
          <w:tcPr>
            <w:tcW w:w="5092" w:type="dxa"/>
            <w:tcBorders>
              <w:top w:val="single" w:sz="4" w:space="0" w:color="D7D8EA"/>
              <w:left w:val="single" w:sz="4" w:space="0" w:color="FFFFFF" w:themeColor="background1"/>
              <w:bottom w:val="single" w:sz="4" w:space="0" w:color="113274"/>
              <w:right w:val="single" w:sz="4" w:space="0" w:color="FFFFFF" w:themeColor="background1"/>
            </w:tcBorders>
          </w:tcPr>
          <w:p w14:paraId="437807C8" w14:textId="77777777" w:rsidR="00EA241A" w:rsidRDefault="00EA241A"/>
        </w:tc>
      </w:tr>
      <w:tr w:rsidR="00EA241A" w14:paraId="2705ABD7"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220F3C29" w14:textId="658F228F"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 xml:space="preserve">ases </w:t>
            </w:r>
            <w:r w:rsidR="003C345B">
              <w:rPr>
                <w:rFonts w:ascii="Arial" w:hAnsi="Arial" w:cs="Arial"/>
                <w:b/>
                <w:bCs/>
                <w:color w:val="FFFFFF" w:themeColor="background1"/>
              </w:rPr>
              <w:t>C</w:t>
            </w:r>
            <w:r>
              <w:rPr>
                <w:rFonts w:ascii="Arial" w:hAnsi="Arial" w:cs="Arial"/>
                <w:b/>
                <w:bCs/>
                <w:color w:val="FFFFFF" w:themeColor="background1"/>
              </w:rPr>
              <w:t>onsidered</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3D83A62B"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E8A9F14" w14:textId="034A370A"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ases by OOC</w:t>
            </w:r>
            <w:r w:rsidR="00501D69">
              <w:rPr>
                <w:rFonts w:ascii="Arial" w:hAnsi="Arial" w:cs="Arial"/>
                <w:b/>
                <w:bCs/>
                <w:color w:val="FFFFFF" w:themeColor="background1"/>
              </w:rPr>
              <w:t>R</w:t>
            </w:r>
            <w:r>
              <w:rPr>
                <w:rFonts w:ascii="Arial" w:hAnsi="Arial" w:cs="Arial"/>
                <w:b/>
                <w:bCs/>
                <w:color w:val="FFFFFF" w:themeColor="background1"/>
              </w:rPr>
              <w:t xml:space="preserve"> </w:t>
            </w:r>
            <w:r w:rsidR="003C345B">
              <w:rPr>
                <w:rFonts w:ascii="Arial" w:hAnsi="Arial" w:cs="Arial"/>
                <w:b/>
                <w:bCs/>
                <w:color w:val="FFFFFF" w:themeColor="background1"/>
              </w:rPr>
              <w:t>T</w:t>
            </w:r>
            <w:r>
              <w:rPr>
                <w:rFonts w:ascii="Arial" w:hAnsi="Arial" w:cs="Arial"/>
                <w:b/>
                <w:bCs/>
                <w:color w:val="FFFFFF" w:themeColor="background1"/>
              </w:rPr>
              <w:t>ype</w:t>
            </w:r>
          </w:p>
        </w:tc>
      </w:tr>
      <w:tr w:rsidR="00FC0F7F" w14:paraId="6A2065A0" w14:textId="77777777" w:rsidTr="000B2677">
        <w:trPr>
          <w:trHeight w:val="3686"/>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1582FF06" w14:textId="6834244B" w:rsidR="00FC0F7F" w:rsidRDefault="003B3856" w:rsidP="003B3856">
            <w:pPr>
              <w:jc w:val="center"/>
            </w:pPr>
            <w:r>
              <w:rPr>
                <w:noProof/>
              </w:rPr>
              <w:drawing>
                <wp:inline distT="0" distB="0" distL="0" distR="0" wp14:anchorId="33612CBC" wp14:editId="681602F0">
                  <wp:extent cx="2512695" cy="2467610"/>
                  <wp:effectExtent l="0" t="0" r="1905" b="8890"/>
                  <wp:docPr id="6" name="Chart 6" descr="A bar chart which shows 20 Adult cases considered and 8 Youth cases considered"/>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5D7E444C" w14:textId="77777777" w:rsidR="00FC0F7F" w:rsidRDefault="00FC0F7F"/>
        </w:tc>
        <w:tc>
          <w:tcPr>
            <w:tcW w:w="5092" w:type="dxa"/>
            <w:tcBorders>
              <w:top w:val="single" w:sz="4" w:space="0" w:color="113274"/>
              <w:left w:val="single" w:sz="4" w:space="0" w:color="113274"/>
              <w:bottom w:val="single" w:sz="4" w:space="0" w:color="113274"/>
              <w:right w:val="single" w:sz="4" w:space="0" w:color="113274"/>
            </w:tcBorders>
            <w:vAlign w:val="center"/>
          </w:tcPr>
          <w:p w14:paraId="500EFD83" w14:textId="54C2275D" w:rsidR="00FC0F7F" w:rsidRDefault="003B3856" w:rsidP="003B3856">
            <w:pPr>
              <w:jc w:val="center"/>
            </w:pPr>
            <w:r>
              <w:rPr>
                <w:noProof/>
                <w:lang w:eastAsia="en-GB"/>
              </w:rPr>
              <w:drawing>
                <wp:inline distT="0" distB="0" distL="0" distR="0" wp14:anchorId="376CF90C" wp14:editId="00701126">
                  <wp:extent cx="2858770" cy="2421685"/>
                  <wp:effectExtent l="0" t="0" r="0" b="0"/>
                  <wp:docPr id="8" name="Chart 8" descr="A pie chart showing the following the data:&#10;7 cautions, 3 conditional cautions, 9 community resolutions and 3 youth cau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18CB860" w14:textId="76B294DE" w:rsidR="00C734CE" w:rsidRDefault="00C734CE"/>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264B9D" w14:paraId="52C24EE7" w14:textId="77777777" w:rsidTr="00264B9D">
        <w:trPr>
          <w:trHeight w:val="567"/>
        </w:trPr>
        <w:tc>
          <w:tcPr>
            <w:tcW w:w="10485" w:type="dxa"/>
            <w:shd w:val="clear" w:color="auto" w:fill="113274"/>
            <w:tcMar>
              <w:left w:w="0" w:type="dxa"/>
              <w:right w:w="0" w:type="dxa"/>
            </w:tcMar>
            <w:vAlign w:val="center"/>
          </w:tcPr>
          <w:p w14:paraId="33E77D65" w14:textId="08B157C2" w:rsidR="00264B9D" w:rsidRDefault="00264B9D" w:rsidP="00264B9D">
            <w:pPr>
              <w:jc w:val="center"/>
            </w:pPr>
            <w:r>
              <w:rPr>
                <w:rFonts w:ascii="Arial" w:hAnsi="Arial" w:cs="Arial"/>
                <w:b/>
                <w:bCs/>
                <w:color w:val="FFFFFF" w:themeColor="background1"/>
              </w:rPr>
              <w:t xml:space="preserve">Distribution of </w:t>
            </w:r>
            <w:r w:rsidR="003C345B">
              <w:rPr>
                <w:rFonts w:ascii="Arial" w:hAnsi="Arial" w:cs="Arial"/>
                <w:b/>
                <w:bCs/>
                <w:color w:val="FFFFFF" w:themeColor="background1"/>
              </w:rPr>
              <w:t>C</w:t>
            </w:r>
            <w:r>
              <w:rPr>
                <w:rFonts w:ascii="Arial" w:hAnsi="Arial" w:cs="Arial"/>
                <w:b/>
                <w:bCs/>
                <w:color w:val="FFFFFF" w:themeColor="background1"/>
              </w:rPr>
              <w:t xml:space="preserve">ases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264B9D" w14:paraId="26D2C1AD" w14:textId="77777777" w:rsidTr="000B2677">
        <w:trPr>
          <w:trHeight w:val="3686"/>
        </w:trPr>
        <w:tc>
          <w:tcPr>
            <w:tcW w:w="10485" w:type="dxa"/>
            <w:tcMar>
              <w:top w:w="142" w:type="dxa"/>
              <w:left w:w="142" w:type="dxa"/>
              <w:bottom w:w="142" w:type="dxa"/>
              <w:right w:w="142" w:type="dxa"/>
            </w:tcMar>
          </w:tcPr>
          <w:p w14:paraId="0359CB23" w14:textId="7DB2F3A4" w:rsidR="00264B9D" w:rsidRDefault="00264B9D" w:rsidP="00264B9D">
            <w:pPr>
              <w:jc w:val="center"/>
            </w:pPr>
            <w:r>
              <w:rPr>
                <w:noProof/>
              </w:rPr>
              <w:drawing>
                <wp:inline distT="0" distB="0" distL="0" distR="0" wp14:anchorId="5539D8D5" wp14:editId="651F4285">
                  <wp:extent cx="6172200" cy="2374900"/>
                  <wp:effectExtent l="0" t="0" r="0" b="6350"/>
                  <wp:docPr id="10" name="Chart 10" descr="A bar chart showing the distribution of cases by district. Sheffield had 7 cases, Rotherham had 7 cases, Doncaster had 7 cases and Barnsley had 7 cases. ">
                    <a:extLst xmlns:a="http://schemas.openxmlformats.org/drawingml/2006/main">
                      <a:ext uri="{FF2B5EF4-FFF2-40B4-BE49-F238E27FC236}">
                        <a16:creationId xmlns:a16="http://schemas.microsoft.com/office/drawing/2014/main" id="{36818BFB-3541-4076-9218-670E9D4C4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C060FF8" w14:textId="182AD6AA" w:rsidR="00264B9D" w:rsidRDefault="00264B9D"/>
    <w:p w14:paraId="3E79F653" w14:textId="5100D70C" w:rsidR="00FC4807" w:rsidRPr="00463CD9" w:rsidRDefault="00FC4807" w:rsidP="00E77957">
      <w:pPr>
        <w:jc w:val="center"/>
        <w:rPr>
          <w:b/>
          <w:bCs/>
          <w:color w:val="FF0000"/>
        </w:rPr>
      </w:pPr>
    </w:p>
    <w:tbl>
      <w:tblPr>
        <w:tblStyle w:val="TableGrid"/>
        <w:tblW w:w="10485" w:type="dxa"/>
        <w:tblLayout w:type="fixed"/>
        <w:tblLook w:val="04A0" w:firstRow="1" w:lastRow="0" w:firstColumn="1" w:lastColumn="0" w:noHBand="0" w:noVBand="1"/>
      </w:tblPr>
      <w:tblGrid>
        <w:gridCol w:w="5093"/>
        <w:gridCol w:w="300"/>
        <w:gridCol w:w="5092"/>
      </w:tblGrid>
      <w:tr w:rsidR="00D66C7C" w14:paraId="2F026403" w14:textId="77777777" w:rsidTr="00D66C7C">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0EE739A9" w14:textId="0C3E7B97" w:rsidR="00D66C7C" w:rsidRDefault="00D66C7C" w:rsidP="009B2843">
            <w:pPr>
              <w:jc w:val="center"/>
            </w:pPr>
            <w:r>
              <w:rPr>
                <w:rFonts w:ascii="Arial" w:hAnsi="Arial" w:cs="Arial"/>
                <w:b/>
                <w:bCs/>
                <w:color w:val="FFFFFF" w:themeColor="background1"/>
              </w:rPr>
              <w:lastRenderedPageBreak/>
              <w:t xml:space="preserve">Distribution by </w:t>
            </w:r>
            <w:r w:rsidR="003C345B">
              <w:rPr>
                <w:rFonts w:ascii="Arial" w:hAnsi="Arial" w:cs="Arial"/>
                <w:b/>
                <w:bCs/>
                <w:color w:val="FFFFFF" w:themeColor="background1"/>
              </w:rPr>
              <w:t>P</w:t>
            </w:r>
            <w:r>
              <w:rPr>
                <w:rFonts w:ascii="Arial" w:hAnsi="Arial" w:cs="Arial"/>
                <w:b/>
                <w:bCs/>
                <w:color w:val="FFFFFF" w:themeColor="background1"/>
              </w:rPr>
              <w:t xml:space="preserve">anel </w:t>
            </w:r>
            <w:r w:rsidR="003C345B">
              <w:rPr>
                <w:rFonts w:ascii="Arial" w:hAnsi="Arial" w:cs="Arial"/>
                <w:b/>
                <w:bCs/>
                <w:color w:val="FFFFFF" w:themeColor="background1"/>
              </w:rPr>
              <w:t>D</w:t>
            </w:r>
            <w:r>
              <w:rPr>
                <w:rFonts w:ascii="Arial" w:hAnsi="Arial" w:cs="Arial"/>
                <w:b/>
                <w:bCs/>
                <w:color w:val="FFFFFF" w:themeColor="background1"/>
              </w:rPr>
              <w:t>ecision</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79BB919"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shd w:val="clear" w:color="auto" w:fill="113274"/>
            <w:tcMar>
              <w:top w:w="142" w:type="dxa"/>
              <w:left w:w="142" w:type="dxa"/>
              <w:bottom w:w="142" w:type="dxa"/>
              <w:right w:w="142" w:type="dxa"/>
            </w:tcMar>
            <w:vAlign w:val="center"/>
          </w:tcPr>
          <w:p w14:paraId="0C18D079" w14:textId="44552196" w:rsidR="00D66C7C" w:rsidRDefault="00D66C7C" w:rsidP="009B2843">
            <w:pPr>
              <w:jc w:val="center"/>
            </w:pPr>
            <w:r>
              <w:rPr>
                <w:rFonts w:ascii="Arial" w:hAnsi="Arial" w:cs="Arial"/>
                <w:b/>
                <w:bCs/>
                <w:color w:val="FFFFFF" w:themeColor="background1"/>
              </w:rPr>
              <w:t xml:space="preserve">Distribution of “Inappropriate” </w:t>
            </w:r>
            <w:r>
              <w:rPr>
                <w:rFonts w:ascii="Arial" w:hAnsi="Arial" w:cs="Arial"/>
                <w:b/>
                <w:bCs/>
                <w:color w:val="FFFFFF" w:themeColor="background1"/>
              </w:rPr>
              <w:br/>
            </w:r>
            <w:r w:rsidR="003C345B">
              <w:rPr>
                <w:rFonts w:ascii="Arial" w:hAnsi="Arial" w:cs="Arial"/>
                <w:b/>
                <w:bCs/>
                <w:color w:val="FFFFFF" w:themeColor="background1"/>
              </w:rPr>
              <w:t>O</w:t>
            </w:r>
            <w:r>
              <w:rPr>
                <w:rFonts w:ascii="Arial" w:hAnsi="Arial" w:cs="Arial"/>
                <w:b/>
                <w:bCs/>
                <w:color w:val="FFFFFF" w:themeColor="background1"/>
              </w:rPr>
              <w:t xml:space="preserve">utcomes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D66C7C" w14:paraId="4788CB4F" w14:textId="77777777" w:rsidTr="009B2843">
        <w:trPr>
          <w:trHeight w:val="4253"/>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09C38775" w14:textId="6105FE83" w:rsidR="00D66C7C" w:rsidRDefault="00D66C7C" w:rsidP="009B2843">
            <w:pPr>
              <w:jc w:val="center"/>
            </w:pPr>
            <w:r>
              <w:rPr>
                <w:noProof/>
                <w:lang w:eastAsia="en-GB"/>
              </w:rPr>
              <w:drawing>
                <wp:inline distT="0" distB="0" distL="0" distR="0" wp14:anchorId="3E01CADF" wp14:editId="34BF79F1">
                  <wp:extent cx="2833370" cy="2406658"/>
                  <wp:effectExtent l="0" t="0" r="0" b="0"/>
                  <wp:docPr id="13" name="Chart 13" descr="A pie chart title distribution by panel decision with the following data:&#10;26 appropriate outcomes and one appropriate outcome with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2D30481B"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vAlign w:val="center"/>
          </w:tcPr>
          <w:p w14:paraId="304AFAEB" w14:textId="503C76C4" w:rsidR="00D66C7C" w:rsidRDefault="00D66C7C" w:rsidP="009B2843">
            <w:pPr>
              <w:jc w:val="center"/>
            </w:pPr>
            <w:r>
              <w:rPr>
                <w:noProof/>
                <w:lang w:eastAsia="en-GB"/>
              </w:rPr>
              <w:drawing>
                <wp:inline distT="0" distB="0" distL="0" distR="0" wp14:anchorId="3AA50B21" wp14:editId="5BFEC0B4">
                  <wp:extent cx="2820670" cy="2501900"/>
                  <wp:effectExtent l="0" t="0" r="0" b="0"/>
                  <wp:docPr id="15" name="Chart 15" descr="A chart titled Distribution of inappropriate outcomes by district with the following data:&#10;Sheffield had 0, Rotherham had 0, Doncaster had 0 and Barnsley had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231E33C" w14:textId="77777777" w:rsidR="00D66C7C" w:rsidRDefault="00D66C7C"/>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D66C7C" w14:paraId="16CF9F40" w14:textId="77777777" w:rsidTr="009B2843">
        <w:trPr>
          <w:trHeight w:val="567"/>
        </w:trPr>
        <w:tc>
          <w:tcPr>
            <w:tcW w:w="10485" w:type="dxa"/>
            <w:shd w:val="clear" w:color="auto" w:fill="113274"/>
            <w:tcMar>
              <w:left w:w="0" w:type="dxa"/>
              <w:right w:w="0" w:type="dxa"/>
            </w:tcMar>
            <w:vAlign w:val="center"/>
          </w:tcPr>
          <w:p w14:paraId="0FD91A38" w14:textId="533149E5" w:rsidR="00D66C7C" w:rsidRDefault="00757094" w:rsidP="009B2843">
            <w:pPr>
              <w:jc w:val="center"/>
            </w:pPr>
            <w:r>
              <w:rPr>
                <w:rFonts w:ascii="Arial" w:hAnsi="Arial" w:cs="Arial"/>
                <w:b/>
                <w:bCs/>
                <w:color w:val="FFFFFF" w:themeColor="background1"/>
              </w:rPr>
              <w:t>Common Themes Identified and Any Additional Comments</w:t>
            </w:r>
          </w:p>
        </w:tc>
      </w:tr>
      <w:tr w:rsidR="00D66C7C" w14:paraId="17E0197D" w14:textId="77777777" w:rsidTr="009B2843">
        <w:trPr>
          <w:trHeight w:val="4253"/>
        </w:trPr>
        <w:tc>
          <w:tcPr>
            <w:tcW w:w="10485" w:type="dxa"/>
            <w:tcMar>
              <w:top w:w="142" w:type="dxa"/>
              <w:left w:w="142" w:type="dxa"/>
              <w:bottom w:w="142" w:type="dxa"/>
              <w:right w:w="142" w:type="dxa"/>
            </w:tcMar>
          </w:tcPr>
          <w:p w14:paraId="5D29211B" w14:textId="4587B5BA" w:rsidR="0061501B" w:rsidRDefault="00E065CD" w:rsidP="00F20AFA">
            <w:pPr>
              <w:pStyle w:val="Default"/>
              <w:rPr>
                <w:rFonts w:asciiTheme="minorHAnsi" w:hAnsiTheme="minorHAnsi"/>
                <w:sz w:val="22"/>
                <w:szCs w:val="22"/>
              </w:rPr>
            </w:pPr>
            <w:r w:rsidRPr="00E065CD">
              <w:rPr>
                <w:rFonts w:asciiTheme="minorHAnsi" w:hAnsiTheme="minorHAnsi"/>
                <w:sz w:val="22"/>
                <w:szCs w:val="22"/>
              </w:rPr>
              <w:t>There were no common themes or additional comments.</w:t>
            </w:r>
          </w:p>
          <w:p w14:paraId="5A6BBEB5" w14:textId="77777777" w:rsidR="0061501B" w:rsidRDefault="0061501B" w:rsidP="00F20AFA">
            <w:pPr>
              <w:pStyle w:val="Default"/>
              <w:rPr>
                <w:rFonts w:asciiTheme="minorHAnsi" w:hAnsiTheme="minorHAnsi"/>
                <w:sz w:val="22"/>
                <w:szCs w:val="22"/>
              </w:rPr>
            </w:pPr>
          </w:p>
          <w:p w14:paraId="36D058A1" w14:textId="77777777" w:rsidR="0061501B" w:rsidRDefault="0061501B" w:rsidP="00F20AFA">
            <w:pPr>
              <w:pStyle w:val="Default"/>
              <w:rPr>
                <w:rFonts w:asciiTheme="minorHAnsi" w:hAnsiTheme="minorHAnsi"/>
                <w:sz w:val="22"/>
                <w:szCs w:val="22"/>
              </w:rPr>
            </w:pPr>
            <w:r>
              <w:rPr>
                <w:rFonts w:asciiTheme="minorHAnsi" w:hAnsiTheme="minorHAnsi"/>
                <w:sz w:val="22"/>
                <w:szCs w:val="22"/>
              </w:rPr>
              <w:t xml:space="preserve">There were 2 investigations where the panel decision was “appropriate with observations”.  </w:t>
            </w:r>
          </w:p>
          <w:p w14:paraId="758DA511" w14:textId="77777777" w:rsidR="0061501B" w:rsidRDefault="0061501B" w:rsidP="00F20AFA">
            <w:pPr>
              <w:pStyle w:val="Default"/>
              <w:rPr>
                <w:rFonts w:asciiTheme="minorHAnsi" w:hAnsiTheme="minorHAnsi"/>
                <w:sz w:val="22"/>
                <w:szCs w:val="22"/>
              </w:rPr>
            </w:pPr>
          </w:p>
          <w:p w14:paraId="364BF290" w14:textId="560270CA" w:rsidR="0061501B" w:rsidRDefault="0061501B" w:rsidP="00F20AFA">
            <w:pPr>
              <w:pStyle w:val="Default"/>
              <w:rPr>
                <w:rFonts w:asciiTheme="minorHAnsi" w:hAnsiTheme="minorHAnsi"/>
                <w:sz w:val="22"/>
                <w:szCs w:val="22"/>
              </w:rPr>
            </w:pPr>
            <w:r>
              <w:rPr>
                <w:rFonts w:asciiTheme="minorHAnsi" w:hAnsiTheme="minorHAnsi"/>
                <w:sz w:val="22"/>
                <w:szCs w:val="22"/>
              </w:rPr>
              <w:t>The first of these related to a Youth Caution given for various offences including a racially aggravated assault.  The Panel wondered because of the racially aggravated element to the crime, whether the offence ought to have been sent to Court, however they ultimately concluded that as the Youth Caution had been given following CPS advice, then the Police decision-making was therefore appropriate.</w:t>
            </w:r>
          </w:p>
          <w:p w14:paraId="4685FD46" w14:textId="77777777" w:rsidR="0061501B" w:rsidRDefault="0061501B" w:rsidP="00F20AFA">
            <w:pPr>
              <w:pStyle w:val="Default"/>
              <w:rPr>
                <w:rFonts w:asciiTheme="minorHAnsi" w:hAnsiTheme="minorHAnsi"/>
                <w:sz w:val="22"/>
                <w:szCs w:val="22"/>
              </w:rPr>
            </w:pPr>
          </w:p>
          <w:p w14:paraId="772DAC19" w14:textId="478A257F" w:rsidR="0061501B" w:rsidRDefault="0061501B" w:rsidP="00F20AFA">
            <w:pPr>
              <w:pStyle w:val="Default"/>
              <w:rPr>
                <w:rFonts w:asciiTheme="minorHAnsi" w:hAnsiTheme="minorHAnsi"/>
                <w:sz w:val="22"/>
                <w:szCs w:val="22"/>
              </w:rPr>
            </w:pPr>
            <w:r>
              <w:rPr>
                <w:rFonts w:asciiTheme="minorHAnsi" w:hAnsiTheme="minorHAnsi"/>
                <w:sz w:val="22"/>
                <w:szCs w:val="22"/>
              </w:rPr>
              <w:t xml:space="preserve">The second case related to an offence </w:t>
            </w:r>
            <w:r w:rsidR="00D44944">
              <w:rPr>
                <w:rFonts w:asciiTheme="minorHAnsi" w:hAnsiTheme="minorHAnsi"/>
                <w:sz w:val="22"/>
                <w:szCs w:val="22"/>
              </w:rPr>
              <w:t xml:space="preserve">involving a dog bite where the offender received a Conditional Caution.  </w:t>
            </w:r>
            <w:r w:rsidR="00633D11">
              <w:rPr>
                <w:rFonts w:asciiTheme="minorHAnsi" w:hAnsiTheme="minorHAnsi"/>
                <w:sz w:val="22"/>
                <w:szCs w:val="22"/>
              </w:rPr>
              <w:t>The Panel questioned whether due to the serious nature of the offence, the injury caused and the risk associated with dog bites whether this ought to have been sent to Court, but ultimately the decision was not wrong or unlawful based on the limited information provided.</w:t>
            </w:r>
          </w:p>
          <w:p w14:paraId="0AF33362" w14:textId="77777777" w:rsidR="0061501B" w:rsidRPr="0061501B" w:rsidRDefault="0061501B" w:rsidP="00F20AFA">
            <w:pPr>
              <w:pStyle w:val="Default"/>
              <w:rPr>
                <w:rFonts w:asciiTheme="minorHAnsi" w:hAnsiTheme="minorHAnsi"/>
                <w:sz w:val="22"/>
                <w:szCs w:val="22"/>
              </w:rPr>
            </w:pPr>
          </w:p>
          <w:p w14:paraId="361D29FA" w14:textId="34140138" w:rsidR="00E065CD" w:rsidRDefault="00E065CD" w:rsidP="00463CD9">
            <w:pPr>
              <w:pStyle w:val="Default"/>
            </w:pPr>
          </w:p>
        </w:tc>
      </w:tr>
    </w:tbl>
    <w:p w14:paraId="638F9029" w14:textId="77777777" w:rsidR="00D66C7C" w:rsidRDefault="00D66C7C"/>
    <w:p w14:paraId="39BD45A1" w14:textId="77777777" w:rsidR="00536451" w:rsidRDefault="00536451"/>
    <w:p w14:paraId="061EC80A" w14:textId="481D8FAF" w:rsidR="00536451" w:rsidRDefault="00536451" w:rsidP="00536451">
      <w:pPr>
        <w:jc w:val="center"/>
      </w:pPr>
      <w:r>
        <w:rPr>
          <w:noProof/>
        </w:rPr>
        <w:drawing>
          <wp:inline distT="0" distB="0" distL="0" distR="0" wp14:anchorId="311E043E" wp14:editId="33D089F4">
            <wp:extent cx="2189338" cy="1523808"/>
            <wp:effectExtent l="0" t="0" r="1905" b="635"/>
            <wp:docPr id="2" name="Picture 2" descr="Logo with the text - Out of Court Resolution - Delivering justice with fair outcomes for victims, offenders &amp; communitie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with the text - Out of Court Resolution - Delivering justice with fair outcomes for victims, offenders &amp; communities ">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5316" cy="1541889"/>
                    </a:xfrm>
                    <a:prstGeom prst="rect">
                      <a:avLst/>
                    </a:prstGeom>
                  </pic:spPr>
                </pic:pic>
              </a:graphicData>
            </a:graphic>
          </wp:inline>
        </w:drawing>
      </w:r>
    </w:p>
    <w:sectPr w:rsidR="00536451" w:rsidSect="000B2677">
      <w:headerReference w:type="default" r:id="rId13"/>
      <w:headerReference w:type="first" r:id="rId14"/>
      <w:pgSz w:w="11900" w:h="16840"/>
      <w:pgMar w:top="2106" w:right="720" w:bottom="720" w:left="720" w:header="5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995A" w14:textId="77777777" w:rsidR="00AC64B8" w:rsidRDefault="00AC64B8" w:rsidP="00F33FDC">
      <w:r>
        <w:separator/>
      </w:r>
    </w:p>
  </w:endnote>
  <w:endnote w:type="continuationSeparator" w:id="0">
    <w:p w14:paraId="5CB81494" w14:textId="77777777" w:rsidR="00AC64B8" w:rsidRDefault="00AC64B8" w:rsidP="00F3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2FAE" w14:textId="77777777" w:rsidR="00AC64B8" w:rsidRDefault="00AC64B8" w:rsidP="00F33FDC">
      <w:r>
        <w:separator/>
      </w:r>
    </w:p>
  </w:footnote>
  <w:footnote w:type="continuationSeparator" w:id="0">
    <w:p w14:paraId="757C1F8D" w14:textId="77777777" w:rsidR="00AC64B8" w:rsidRDefault="00AC64B8" w:rsidP="00F3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2A10" w14:textId="4D268CEE" w:rsidR="00F33FDC" w:rsidRPr="00F33FDC" w:rsidRDefault="00332FCF">
    <w:pPr>
      <w:pStyle w:val="Header"/>
      <w:rPr>
        <w:rFonts w:ascii="Arial" w:hAnsi="Arial" w:cs="Arial"/>
        <w:b/>
        <w:bCs/>
        <w:color w:val="FFFFFF" w:themeColor="background1"/>
        <w:sz w:val="32"/>
        <w:szCs w:val="32"/>
      </w:rPr>
    </w:pPr>
    <w:r>
      <w:rPr>
        <w:rFonts w:ascii="Arial" w:hAnsi="Arial" w:cs="Arial"/>
        <w:b/>
        <w:bCs/>
        <w:noProof/>
        <w:color w:val="FFFFFF" w:themeColor="background1"/>
        <w:sz w:val="32"/>
        <w:szCs w:val="32"/>
      </w:rPr>
      <mc:AlternateContent>
        <mc:Choice Requires="wps">
          <w:drawing>
            <wp:inline distT="0" distB="0" distL="0" distR="0" wp14:anchorId="5AF968FE" wp14:editId="75A21234">
              <wp:extent cx="3844800" cy="540000"/>
              <wp:effectExtent l="0" t="0" r="22860" b="12700"/>
              <wp:docPr id="4" name="Text Box 4"/>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F968FE" id="_x0000_t202" coordsize="21600,21600" o:spt="202" path="m,l,21600r21600,l21600,xe">
              <v:stroke joinstyle="miter"/>
              <v:path gradientshapeok="t" o:connecttype="rect"/>
            </v:shapetype>
            <v:shape id="Text Box 4" o:spid="_x0000_s1026" type="#_x0000_t202" style="width:302.7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k/NgIAAHw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" fillcolor="white [3201]" strokeweight=".5pt">
              <v:textbo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w10:anchorlock/>
            </v:shape>
          </w:pict>
        </mc:Fallback>
      </mc:AlternateContent>
    </w:r>
    <w:r w:rsidR="003C345B">
      <w:rPr>
        <w:rFonts w:ascii="Arial" w:hAnsi="Arial" w:cs="Arial"/>
        <w:b/>
        <w:bCs/>
        <w:noProof/>
        <w:color w:val="FFFFFF" w:themeColor="background1"/>
        <w:sz w:val="32"/>
        <w:szCs w:val="32"/>
      </w:rPr>
      <w:drawing>
        <wp:anchor distT="0" distB="0" distL="114300" distR="114300" simplePos="0" relativeHeight="251663360" behindDoc="1" locked="0" layoutInCell="1" allowOverlap="1" wp14:anchorId="3450946F" wp14:editId="125B3B25">
          <wp:simplePos x="0" y="0"/>
          <wp:positionH relativeFrom="column">
            <wp:posOffset>-457200</wp:posOffset>
          </wp:positionH>
          <wp:positionV relativeFrom="paragraph">
            <wp:posOffset>-330835</wp:posOffset>
          </wp:positionV>
          <wp:extent cx="7599000" cy="1072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D66C7C">
      <w:rPr>
        <w:rFonts w:ascii="Arial" w:hAnsi="Arial" w:cs="Arial"/>
        <w:b/>
        <w:bCs/>
        <w:noProof/>
        <w:color w:val="FFFFFF" w:themeColor="background1"/>
        <w:sz w:val="32"/>
        <w:szCs w:val="32"/>
      </w:rPr>
      <w:drawing>
        <wp:anchor distT="0" distB="0" distL="114300" distR="114300" simplePos="0" relativeHeight="251661312" behindDoc="1" locked="0" layoutInCell="1" allowOverlap="1" wp14:anchorId="4D27176A" wp14:editId="3D4FE3A8">
          <wp:simplePos x="0" y="0"/>
          <wp:positionH relativeFrom="column">
            <wp:posOffset>-455039</wp:posOffset>
          </wp:positionH>
          <wp:positionV relativeFrom="paragraph">
            <wp:posOffset>-330200</wp:posOffset>
          </wp:positionV>
          <wp:extent cx="7549200" cy="1065600"/>
          <wp:effectExtent l="0" t="0" r="0" b="127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3C2" w14:textId="11FA9036" w:rsidR="00D66C7C" w:rsidRDefault="00501D69" w:rsidP="00501D69">
    <w:pPr>
      <w:pStyle w:val="Header"/>
      <w:tabs>
        <w:tab w:val="clear" w:pos="4513"/>
        <w:tab w:val="clear" w:pos="9026"/>
        <w:tab w:val="left" w:pos="2205"/>
        <w:tab w:val="center" w:pos="5230"/>
      </w:tabs>
    </w:pPr>
    <w:r>
      <w:rPr>
        <w:rFonts w:ascii="Arial" w:hAnsi="Arial" w:cs="Arial"/>
        <w:b/>
        <w:bCs/>
        <w:noProof/>
        <w:color w:val="FFFFFF" w:themeColor="background1"/>
        <w:sz w:val="32"/>
        <w:szCs w:val="32"/>
      </w:rPr>
      <mc:AlternateContent>
        <mc:Choice Requires="wps">
          <w:drawing>
            <wp:anchor distT="0" distB="0" distL="114300" distR="114300" simplePos="0" relativeHeight="251664384" behindDoc="0" locked="0" layoutInCell="1" allowOverlap="1" wp14:anchorId="547B159F" wp14:editId="2E3A21C5">
              <wp:simplePos x="0" y="0"/>
              <wp:positionH relativeFrom="column">
                <wp:posOffset>-119380</wp:posOffset>
              </wp:positionH>
              <wp:positionV relativeFrom="paragraph">
                <wp:posOffset>-13335</wp:posOffset>
              </wp:positionV>
              <wp:extent cx="3844290" cy="539750"/>
              <wp:effectExtent l="0" t="0" r="22860" b="12700"/>
              <wp:wrapSquare wrapText="bothSides"/>
              <wp:docPr id="3" name="Text Box 3"/>
              <wp:cNvGraphicFramePr/>
              <a:graphic xmlns:a="http://schemas.openxmlformats.org/drawingml/2006/main">
                <a:graphicData uri="http://schemas.microsoft.com/office/word/2010/wordprocessingShape">
                  <wps:wsp>
                    <wps:cNvSpPr txBox="1"/>
                    <wps:spPr>
                      <a:xfrm>
                        <a:off x="0" y="0"/>
                        <a:ext cx="3844290" cy="539750"/>
                      </a:xfrm>
                      <a:prstGeom prst="rect">
                        <a:avLst/>
                      </a:prstGeom>
                      <a:solidFill>
                        <a:schemeClr val="lt1"/>
                      </a:solidFill>
                      <a:ln w="6350">
                        <a:solidFill>
                          <a:prstClr val="black"/>
                        </a:solidFill>
                      </a:ln>
                    </wps:spPr>
                    <wps:txb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7B159F" id="_x0000_t202" coordsize="21600,21600" o:spt="202" path="m,l,21600r21600,l21600,xe">
              <v:stroke joinstyle="miter"/>
              <v:path gradientshapeok="t" o:connecttype="rect"/>
            </v:shapetype>
            <v:shape id="Text Box 3" o:spid="_x0000_s1027" type="#_x0000_t202" style="position:absolute;margin-left:-9.4pt;margin-top:-1.05pt;width:302.7pt;height: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" fillcolor="white [3201]" strokeweight=".5pt">
              <v:textbo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w10:wrap type="square"/>
            </v:shape>
          </w:pict>
        </mc:Fallback>
      </mc:AlternateContent>
    </w:r>
    <w:r w:rsidR="00D66C7C">
      <w:rPr>
        <w:rFonts w:ascii="Arial" w:hAnsi="Arial" w:cs="Arial"/>
        <w:b/>
        <w:bCs/>
        <w:noProof/>
        <w:color w:val="FFFFFF" w:themeColor="background1"/>
        <w:sz w:val="32"/>
        <w:szCs w:val="32"/>
      </w:rPr>
      <w:drawing>
        <wp:anchor distT="0" distB="0" distL="114300" distR="114300" simplePos="0" relativeHeight="251660288" behindDoc="1" locked="0" layoutInCell="1" allowOverlap="1" wp14:anchorId="165D8A19" wp14:editId="7490DE9C">
          <wp:simplePos x="0" y="0"/>
          <wp:positionH relativeFrom="column">
            <wp:posOffset>-515566</wp:posOffset>
          </wp:positionH>
          <wp:positionV relativeFrom="paragraph">
            <wp:posOffset>-340157</wp:posOffset>
          </wp:positionV>
          <wp:extent cx="7599000" cy="10728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3C345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D46B1"/>
    <w:multiLevelType w:val="hybridMultilevel"/>
    <w:tmpl w:val="9356C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567BC6"/>
    <w:multiLevelType w:val="hybridMultilevel"/>
    <w:tmpl w:val="4184CB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16cid:durableId="1367372824">
    <w:abstractNumId w:val="1"/>
  </w:num>
  <w:num w:numId="2" w16cid:durableId="121249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1A"/>
    <w:rsid w:val="000B2677"/>
    <w:rsid w:val="000C4388"/>
    <w:rsid w:val="001C2D1D"/>
    <w:rsid w:val="00203F84"/>
    <w:rsid w:val="002327AD"/>
    <w:rsid w:val="00240C03"/>
    <w:rsid w:val="00264B9D"/>
    <w:rsid w:val="00270746"/>
    <w:rsid w:val="002E1496"/>
    <w:rsid w:val="0031507B"/>
    <w:rsid w:val="00332FCF"/>
    <w:rsid w:val="003556D9"/>
    <w:rsid w:val="003B3856"/>
    <w:rsid w:val="003B7ACC"/>
    <w:rsid w:val="003C345B"/>
    <w:rsid w:val="003D5054"/>
    <w:rsid w:val="003E293F"/>
    <w:rsid w:val="00463CD9"/>
    <w:rsid w:val="00497B58"/>
    <w:rsid w:val="004A53EB"/>
    <w:rsid w:val="00501D69"/>
    <w:rsid w:val="00507F60"/>
    <w:rsid w:val="00536451"/>
    <w:rsid w:val="0061501B"/>
    <w:rsid w:val="00633D11"/>
    <w:rsid w:val="006D729E"/>
    <w:rsid w:val="0072767B"/>
    <w:rsid w:val="00750204"/>
    <w:rsid w:val="00757094"/>
    <w:rsid w:val="00786138"/>
    <w:rsid w:val="007A03AF"/>
    <w:rsid w:val="00815126"/>
    <w:rsid w:val="008E0F9A"/>
    <w:rsid w:val="009B08F8"/>
    <w:rsid w:val="00A01D3D"/>
    <w:rsid w:val="00A353AF"/>
    <w:rsid w:val="00A63776"/>
    <w:rsid w:val="00A95373"/>
    <w:rsid w:val="00AC64B8"/>
    <w:rsid w:val="00AC71AE"/>
    <w:rsid w:val="00AE2D8F"/>
    <w:rsid w:val="00AE52C5"/>
    <w:rsid w:val="00B576B9"/>
    <w:rsid w:val="00BE0F96"/>
    <w:rsid w:val="00C511DA"/>
    <w:rsid w:val="00C734CE"/>
    <w:rsid w:val="00CC269E"/>
    <w:rsid w:val="00CC3039"/>
    <w:rsid w:val="00D3199F"/>
    <w:rsid w:val="00D44944"/>
    <w:rsid w:val="00D66C7C"/>
    <w:rsid w:val="00D84A54"/>
    <w:rsid w:val="00DC45F0"/>
    <w:rsid w:val="00E065CD"/>
    <w:rsid w:val="00E77957"/>
    <w:rsid w:val="00E97988"/>
    <w:rsid w:val="00EA241A"/>
    <w:rsid w:val="00F20AFA"/>
    <w:rsid w:val="00F33FDC"/>
    <w:rsid w:val="00FC0F7F"/>
    <w:rsid w:val="00FC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924FB"/>
  <w15:chartTrackingRefBased/>
  <w15:docId w15:val="{9B4E3C8A-6FD0-324F-8108-9D8BAC25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FDC"/>
    <w:pPr>
      <w:tabs>
        <w:tab w:val="center" w:pos="4513"/>
        <w:tab w:val="right" w:pos="9026"/>
      </w:tabs>
    </w:pPr>
  </w:style>
  <w:style w:type="character" w:customStyle="1" w:styleId="HeaderChar">
    <w:name w:val="Header Char"/>
    <w:basedOn w:val="DefaultParagraphFont"/>
    <w:link w:val="Header"/>
    <w:uiPriority w:val="99"/>
    <w:rsid w:val="00F33FDC"/>
  </w:style>
  <w:style w:type="paragraph" w:styleId="Footer">
    <w:name w:val="footer"/>
    <w:basedOn w:val="Normal"/>
    <w:link w:val="FooterChar"/>
    <w:uiPriority w:val="99"/>
    <w:unhideWhenUsed/>
    <w:rsid w:val="00F33FDC"/>
    <w:pPr>
      <w:tabs>
        <w:tab w:val="center" w:pos="4513"/>
        <w:tab w:val="right" w:pos="9026"/>
      </w:tabs>
    </w:pPr>
  </w:style>
  <w:style w:type="character" w:customStyle="1" w:styleId="FooterChar">
    <w:name w:val="Footer Char"/>
    <w:basedOn w:val="DefaultParagraphFont"/>
    <w:link w:val="Footer"/>
    <w:uiPriority w:val="99"/>
    <w:rsid w:val="00F33FDC"/>
  </w:style>
  <w:style w:type="paragraph" w:styleId="ListParagraph">
    <w:name w:val="List Paragraph"/>
    <w:basedOn w:val="Normal"/>
    <w:uiPriority w:val="34"/>
    <w:qFormat/>
    <w:rsid w:val="00A95373"/>
    <w:pPr>
      <w:ind w:left="720"/>
      <w:contextualSpacing/>
    </w:pPr>
  </w:style>
  <w:style w:type="paragraph" w:customStyle="1" w:styleId="Default">
    <w:name w:val="Default"/>
    <w:rsid w:val="00F20AF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DFF6-BE46-B6B2-263B6C845827}"/>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DFF6-BE46-B6B2-263B6C8458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Sheet1!$A$3:$B$3</c:f>
              <c:strCache>
                <c:ptCount val="2"/>
                <c:pt idx="0">
                  <c:v>Adult</c:v>
                </c:pt>
                <c:pt idx="1">
                  <c:v>Youth</c:v>
                </c:pt>
              </c:strCache>
            </c:strRef>
          </c:cat>
          <c:val>
            <c:numRef>
              <c:f>Sheet1!$A$4:$B$4</c:f>
              <c:numCache>
                <c:formatCode>General</c:formatCode>
                <c:ptCount val="2"/>
                <c:pt idx="0">
                  <c:v>20</c:v>
                </c:pt>
                <c:pt idx="1">
                  <c:v>8</c:v>
                </c:pt>
              </c:numCache>
            </c:numRef>
          </c:val>
          <c:extLst>
            <c:ext xmlns:c16="http://schemas.microsoft.com/office/drawing/2014/chart" uri="{C3380CC4-5D6E-409C-BE32-E72D297353CC}">
              <c16:uniqueId val="{00000004-DFF6-BE46-B6B2-263B6C845827}"/>
            </c:ext>
          </c:extLst>
        </c:ser>
        <c:dLbls>
          <c:showLegendKey val="0"/>
          <c:showVal val="0"/>
          <c:showCatName val="0"/>
          <c:showSerName val="0"/>
          <c:showPercent val="0"/>
          <c:showBubbleSize val="0"/>
        </c:dLbls>
        <c:gapWidth val="219"/>
        <c:overlap val="-27"/>
        <c:axId val="320138848"/>
        <c:axId val="4380568"/>
      </c:barChart>
      <c:catAx>
        <c:axId val="3201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0568"/>
        <c:crosses val="autoZero"/>
        <c:auto val="1"/>
        <c:lblAlgn val="ctr"/>
        <c:lblOffset val="100"/>
        <c:noMultiLvlLbl val="0"/>
      </c:catAx>
      <c:valAx>
        <c:axId val="4380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38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27155385008232E-2"/>
          <c:y val="0.2107762296825407"/>
          <c:w val="0.48992014047999666"/>
          <c:h val="0.57844754063491866"/>
        </c:manualLayout>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CD66-4D4E-A316-4CD6C90DCE85}"/>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CD66-4D4E-A316-4CD6C90DCE85}"/>
              </c:ext>
            </c:extLst>
          </c:dPt>
          <c:dPt>
            <c:idx val="2"/>
            <c:bubble3D val="0"/>
            <c:spPr>
              <a:solidFill>
                <a:srgbClr val="9A57CD"/>
              </a:solidFill>
              <a:ln w="19050">
                <a:solidFill>
                  <a:schemeClr val="lt1"/>
                </a:solidFill>
              </a:ln>
              <a:effectLst/>
            </c:spPr>
            <c:extLst>
              <c:ext xmlns:c16="http://schemas.microsoft.com/office/drawing/2014/chart" uri="{C3380CC4-5D6E-409C-BE32-E72D297353CC}">
                <c16:uniqueId val="{00000005-CD66-4D4E-A316-4CD6C90DCE85}"/>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CD66-4D4E-A316-4CD6C90DCE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D66-4D4E-A316-4CD6C90DCE85}"/>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66-4D4E-A316-4CD6C90DCE85}"/>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66-4D4E-A316-4CD6C90DCE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Sheet1!$G$3:$K$3</c:f>
              <c:strCache>
                <c:ptCount val="5"/>
                <c:pt idx="0">
                  <c:v>Caution</c:v>
                </c:pt>
                <c:pt idx="1">
                  <c:v>Conditional Caution</c:v>
                </c:pt>
                <c:pt idx="2">
                  <c:v>Community Resolution</c:v>
                </c:pt>
                <c:pt idx="3">
                  <c:v>Youth Caution</c:v>
                </c:pt>
                <c:pt idx="4">
                  <c:v>Youth Conditional Caution</c:v>
                </c:pt>
              </c:strCache>
            </c:strRef>
          </c:cat>
          <c:val>
            <c:numRef>
              <c:f>Sheet1!$G$4:$K$4</c:f>
              <c:numCache>
                <c:formatCode>General</c:formatCode>
                <c:ptCount val="5"/>
                <c:pt idx="0">
                  <c:v>3</c:v>
                </c:pt>
                <c:pt idx="1">
                  <c:v>9</c:v>
                </c:pt>
                <c:pt idx="2">
                  <c:v>8</c:v>
                </c:pt>
                <c:pt idx="3">
                  <c:v>4</c:v>
                </c:pt>
                <c:pt idx="4">
                  <c:v>4</c:v>
                </c:pt>
              </c:numCache>
            </c:numRef>
          </c:val>
          <c:extLst>
            <c:ext xmlns:c16="http://schemas.microsoft.com/office/drawing/2014/chart" uri="{C3380CC4-5D6E-409C-BE32-E72D297353CC}">
              <c16:uniqueId val="{0000000A-CD66-4D4E-A316-4CD6C90DCE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716210118337615"/>
          <c:y val="6.3332032355121623E-2"/>
          <c:w val="0.30174060872333208"/>
          <c:h val="0.894316377250640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31736657917761"/>
          <c:y val="0.17171296296296298"/>
          <c:w val="0.80101596675415576"/>
          <c:h val="0.72088764946048411"/>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5D1A-9F40-9649-1B4B91FA0EE4}"/>
              </c:ext>
            </c:extLst>
          </c:dPt>
          <c:dPt>
            <c:idx val="2"/>
            <c:invertIfNegative val="0"/>
            <c:bubble3D val="0"/>
            <c:spPr>
              <a:solidFill>
                <a:srgbClr val="92D050"/>
              </a:solidFill>
              <a:ln>
                <a:noFill/>
              </a:ln>
              <a:effectLst/>
            </c:spPr>
            <c:extLst>
              <c:ext xmlns:c16="http://schemas.microsoft.com/office/drawing/2014/chart" uri="{C3380CC4-5D6E-409C-BE32-E72D297353CC}">
                <c16:uniqueId val="{00000003-5D1A-9F40-9649-1B4B91FA0EE4}"/>
              </c:ext>
            </c:extLst>
          </c:dPt>
          <c:dPt>
            <c:idx val="3"/>
            <c:invertIfNegative val="0"/>
            <c:bubble3D val="0"/>
            <c:spPr>
              <a:solidFill>
                <a:srgbClr val="7030A0"/>
              </a:solidFill>
              <a:ln>
                <a:noFill/>
              </a:ln>
              <a:effectLst/>
            </c:spPr>
            <c:extLst>
              <c:ext xmlns:c16="http://schemas.microsoft.com/office/drawing/2014/chart" uri="{C3380CC4-5D6E-409C-BE32-E72D297353CC}">
                <c16:uniqueId val="{00000005-5D1A-9F40-9649-1B4B91FA0EE4}"/>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7-5D1A-9F40-9649-1B4B91FA0E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Sheet1!$K$7:$O$7</c:f>
              <c:strCache>
                <c:ptCount val="4"/>
                <c:pt idx="0">
                  <c:v>Barnsley</c:v>
                </c:pt>
                <c:pt idx="1">
                  <c:v>Doncaster</c:v>
                </c:pt>
                <c:pt idx="2">
                  <c:v>Rotherham</c:v>
                </c:pt>
                <c:pt idx="3">
                  <c:v>Sheffield</c:v>
                </c:pt>
              </c:strCache>
            </c:strRef>
          </c:cat>
          <c:val>
            <c:numRef>
              <c:f>Sheet1!$K$8:$O$8</c:f>
              <c:numCache>
                <c:formatCode>General</c:formatCode>
                <c:ptCount val="5"/>
                <c:pt idx="0">
                  <c:v>3</c:v>
                </c:pt>
                <c:pt idx="1">
                  <c:v>5</c:v>
                </c:pt>
                <c:pt idx="2">
                  <c:v>6</c:v>
                </c:pt>
                <c:pt idx="3">
                  <c:v>14</c:v>
                </c:pt>
              </c:numCache>
            </c:numRef>
          </c:val>
          <c:extLst>
            <c:ext xmlns:c16="http://schemas.microsoft.com/office/drawing/2014/chart" uri="{C3380CC4-5D6E-409C-BE32-E72D297353CC}">
              <c16:uniqueId val="{00000008-5D1A-9F40-9649-1B4B91FA0EE4}"/>
            </c:ext>
          </c:extLst>
        </c:ser>
        <c:dLbls>
          <c:showLegendKey val="0"/>
          <c:showVal val="0"/>
          <c:showCatName val="0"/>
          <c:showSerName val="0"/>
          <c:showPercent val="0"/>
          <c:showBubbleSize val="0"/>
        </c:dLbls>
        <c:gapWidth val="182"/>
        <c:axId val="556028176"/>
        <c:axId val="556029008"/>
      </c:barChart>
      <c:catAx>
        <c:axId val="55602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9008"/>
        <c:crosses val="autoZero"/>
        <c:auto val="1"/>
        <c:lblAlgn val="ctr"/>
        <c:lblOffset val="100"/>
        <c:noMultiLvlLbl val="0"/>
      </c:catAx>
      <c:valAx>
        <c:axId val="556029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8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2D2D-2E43-916E-0AA165928B9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D2D-2E43-916E-0AA165928B9A}"/>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2D2D-2E43-916E-0AA165928B9A}"/>
              </c:ext>
            </c:extLst>
          </c:dPt>
          <c:dLbls>
            <c:dLbl>
              <c:idx val="0"/>
              <c:tx>
                <c:rich>
                  <a:bodyPr/>
                  <a:lstStyle/>
                  <a:p>
                    <a:fld id="{24053DBC-E441-43B1-B4E4-9D0267FE7C33}" type="VALUE">
                      <a:rPr lang="en-US" b="1">
                        <a:solidFill>
                          <a:schemeClr val="bg1"/>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2D-2E43-916E-0AA165928B9A}"/>
                </c:ext>
              </c:extLst>
            </c:dLbl>
            <c:dLbl>
              <c:idx val="2"/>
              <c:delete val="1"/>
              <c:extLst>
                <c:ext xmlns:c15="http://schemas.microsoft.com/office/drawing/2012/chart" uri="{CE6537A1-D6FC-4f65-9D91-7224C49458BB}"/>
                <c:ext xmlns:c16="http://schemas.microsoft.com/office/drawing/2014/chart" uri="{C3380CC4-5D6E-409C-BE32-E72D297353CC}">
                  <c16:uniqueId val="{00000005-2D2D-2E43-916E-0AA165928B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Sheet1!$N$3:$P$3</c:f>
              <c:strCache>
                <c:ptCount val="3"/>
                <c:pt idx="0">
                  <c:v>Appropriate</c:v>
                </c:pt>
                <c:pt idx="1">
                  <c:v>Appropriate (With Observations)</c:v>
                </c:pt>
                <c:pt idx="2">
                  <c:v>Inappropriate</c:v>
                </c:pt>
              </c:strCache>
            </c:strRef>
          </c:cat>
          <c:val>
            <c:numRef>
              <c:f>Sheet1!$N$4:$P$4</c:f>
              <c:numCache>
                <c:formatCode>General</c:formatCode>
                <c:ptCount val="3"/>
                <c:pt idx="0">
                  <c:v>26</c:v>
                </c:pt>
                <c:pt idx="1">
                  <c:v>2</c:v>
                </c:pt>
              </c:numCache>
            </c:numRef>
          </c:val>
          <c:extLst>
            <c:ext xmlns:c16="http://schemas.microsoft.com/office/drawing/2014/chart" uri="{C3380CC4-5D6E-409C-BE32-E72D297353CC}">
              <c16:uniqueId val="{00000006-2D2D-2E43-916E-0AA165928B9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Sheet1!$G$11:$J$11</c:f>
              <c:strCache>
                <c:ptCount val="4"/>
                <c:pt idx="0">
                  <c:v>Barnsley</c:v>
                </c:pt>
                <c:pt idx="1">
                  <c:v>Doncaster</c:v>
                </c:pt>
                <c:pt idx="2">
                  <c:v>Rotherham</c:v>
                </c:pt>
                <c:pt idx="3">
                  <c:v>Sheffield</c:v>
                </c:pt>
              </c:strCache>
            </c:strRef>
          </c:cat>
          <c:val>
            <c:numRef>
              <c:f>Sheet1!$G$12:$J$12</c:f>
              <c:numCache>
                <c:formatCode>General</c:formatCode>
                <c:ptCount val="4"/>
              </c:numCache>
            </c:numRef>
          </c:val>
          <c:extLst>
            <c:ext xmlns:c16="http://schemas.microsoft.com/office/drawing/2014/chart" uri="{C3380CC4-5D6E-409C-BE32-E72D297353CC}">
              <c16:uniqueId val="{00000000-A9BA-044B-8524-D5B8748917AD}"/>
            </c:ext>
          </c:extLst>
        </c:ser>
        <c:dLbls>
          <c:showLegendKey val="0"/>
          <c:showVal val="0"/>
          <c:showCatName val="0"/>
          <c:showSerName val="0"/>
          <c:showPercent val="0"/>
          <c:showBubbleSize val="0"/>
        </c:dLbls>
        <c:gapWidth val="182"/>
        <c:axId val="319971176"/>
        <c:axId val="319971568"/>
      </c:barChart>
      <c:catAx>
        <c:axId val="319971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971568"/>
        <c:crosses val="autoZero"/>
        <c:auto val="1"/>
        <c:lblAlgn val="ctr"/>
        <c:lblOffset val="100"/>
        <c:noMultiLvlLbl val="0"/>
      </c:catAx>
      <c:valAx>
        <c:axId val="3199715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crossAx val="3199711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CLEMENTS</dc:creator>
  <cp:keywords/>
  <dc:description/>
  <cp:lastModifiedBy>Sarah Wilson - SC3888</cp:lastModifiedBy>
  <cp:revision>3</cp:revision>
  <dcterms:created xsi:type="dcterms:W3CDTF">2025-03-18T10:39:00Z</dcterms:created>
  <dcterms:modified xsi:type="dcterms:W3CDTF">2026-05-11T07:54:00Z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2023-03-01T08:53:19Z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d9c3df2c-36b5-4f39-b04a-0eccdfbafdb7</vt:lpwstr>
  </property>
  <property fmtid="{D5CDD505-2E9C-101B-9397-08002B2CF9AE}" pid="8" name="MSIP_Label_f529d828-a824-4b78-ab24-eaae5922aa38_ContentBits">
    <vt:lpwstr>0</vt:lpwstr>
  </property>
</Properties>
</file>