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2C5F" w14:textId="77777777" w:rsidR="000B2677" w:rsidRDefault="000B2677"/>
    <w:tbl>
      <w:tblPr>
        <w:tblStyle w:val="TableGrid"/>
        <w:tblW w:w="10485" w:type="dxa"/>
        <w:tblLayout w:type="fixed"/>
        <w:tblLook w:val="04A0" w:firstRow="1" w:lastRow="0" w:firstColumn="1" w:lastColumn="0" w:noHBand="0" w:noVBand="1"/>
      </w:tblPr>
      <w:tblGrid>
        <w:gridCol w:w="5093"/>
        <w:gridCol w:w="300"/>
        <w:gridCol w:w="5092"/>
      </w:tblGrid>
      <w:tr w:rsidR="00EA241A" w14:paraId="6E955AEC"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5065769E" w14:textId="2E2584A8" w:rsidR="00EA241A" w:rsidRPr="00EA241A" w:rsidRDefault="003C345B" w:rsidP="00EA241A">
            <w:pPr>
              <w:jc w:val="center"/>
              <w:rPr>
                <w:rFonts w:ascii="Arial" w:hAnsi="Arial" w:cs="Arial"/>
                <w:b/>
                <w:bCs/>
                <w:color w:val="FFFFFF" w:themeColor="background1"/>
              </w:rPr>
            </w:pPr>
            <w:r>
              <w:rPr>
                <w:rFonts w:ascii="Arial" w:hAnsi="Arial" w:cs="Arial"/>
                <w:b/>
                <w:bCs/>
                <w:color w:val="FFFFFF" w:themeColor="background1"/>
              </w:rPr>
              <w:t>OOC</w:t>
            </w:r>
            <w:r w:rsidR="00501D69">
              <w:rPr>
                <w:rFonts w:ascii="Arial" w:hAnsi="Arial" w:cs="Arial"/>
                <w:b/>
                <w:bCs/>
                <w:color w:val="FFFFFF" w:themeColor="background1"/>
              </w:rPr>
              <w:t>R</w:t>
            </w:r>
            <w:r>
              <w:rPr>
                <w:rFonts w:ascii="Arial" w:hAnsi="Arial" w:cs="Arial"/>
                <w:b/>
                <w:bCs/>
                <w:color w:val="FFFFFF" w:themeColor="background1"/>
              </w:rPr>
              <w:t xml:space="preserve"> Scrutiny Panel Date</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F846263"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4BF6BBE" w14:textId="2DC2CFF9" w:rsidR="00EA241A" w:rsidRPr="00EA241A" w:rsidRDefault="00EA241A" w:rsidP="00EA241A">
            <w:pPr>
              <w:jc w:val="center"/>
              <w:rPr>
                <w:color w:val="FFFFFF" w:themeColor="background1"/>
              </w:rPr>
            </w:pPr>
            <w:r>
              <w:rPr>
                <w:rFonts w:ascii="Arial" w:hAnsi="Arial" w:cs="Arial"/>
                <w:b/>
                <w:bCs/>
                <w:color w:val="FFFFFF" w:themeColor="background1"/>
              </w:rPr>
              <w:t xml:space="preserve">Overall </w:t>
            </w:r>
            <w:r w:rsidR="003C345B">
              <w:rPr>
                <w:rFonts w:ascii="Arial" w:hAnsi="Arial" w:cs="Arial"/>
                <w:b/>
                <w:bCs/>
                <w:color w:val="FFFFFF" w:themeColor="background1"/>
              </w:rPr>
              <w:t>C</w:t>
            </w:r>
            <w:r>
              <w:rPr>
                <w:rFonts w:ascii="Arial" w:hAnsi="Arial" w:cs="Arial"/>
                <w:b/>
                <w:bCs/>
                <w:color w:val="FFFFFF" w:themeColor="background1"/>
              </w:rPr>
              <w:t xml:space="preserve">ompliance </w:t>
            </w:r>
            <w:r w:rsidR="003C345B">
              <w:rPr>
                <w:rFonts w:ascii="Arial" w:hAnsi="Arial" w:cs="Arial"/>
                <w:b/>
                <w:bCs/>
                <w:color w:val="FFFFFF" w:themeColor="background1"/>
              </w:rPr>
              <w:t>R</w:t>
            </w:r>
            <w:r>
              <w:rPr>
                <w:rFonts w:ascii="Arial" w:hAnsi="Arial" w:cs="Arial"/>
                <w:b/>
                <w:bCs/>
                <w:color w:val="FFFFFF" w:themeColor="background1"/>
              </w:rPr>
              <w:t>ate</w:t>
            </w:r>
          </w:p>
        </w:tc>
      </w:tr>
      <w:tr w:rsidR="00EA241A" w14:paraId="73348F4B" w14:textId="77777777" w:rsidTr="00A01D3D">
        <w:trPr>
          <w:trHeight w:val="1985"/>
        </w:trPr>
        <w:tc>
          <w:tcPr>
            <w:tcW w:w="5093"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4EA8038D" w14:textId="280243BA" w:rsidR="003C345B" w:rsidRDefault="00BE0F96" w:rsidP="003C345B">
            <w:pPr>
              <w:jc w:val="center"/>
              <w:rPr>
                <w:rFonts w:ascii="Arial" w:hAnsi="Arial" w:cs="Arial"/>
                <w:b/>
                <w:bCs/>
                <w:color w:val="113274"/>
                <w:sz w:val="48"/>
                <w:szCs w:val="48"/>
              </w:rPr>
            </w:pPr>
            <w:r>
              <w:rPr>
                <w:rFonts w:ascii="Arial" w:hAnsi="Arial" w:cs="Arial"/>
                <w:b/>
                <w:bCs/>
                <w:color w:val="113274"/>
                <w:sz w:val="48"/>
                <w:szCs w:val="48"/>
              </w:rPr>
              <w:t>11 July</w:t>
            </w:r>
          </w:p>
          <w:p w14:paraId="72CDF629" w14:textId="655A2771" w:rsidR="00EA241A" w:rsidRPr="00FC0F7F" w:rsidRDefault="003C345B" w:rsidP="003C345B">
            <w:pPr>
              <w:jc w:val="center"/>
              <w:rPr>
                <w:rFonts w:ascii="Arial" w:hAnsi="Arial" w:cs="Arial"/>
                <w:b/>
                <w:bCs/>
                <w:sz w:val="48"/>
                <w:szCs w:val="48"/>
              </w:rPr>
            </w:pPr>
            <w:r>
              <w:rPr>
                <w:rFonts w:ascii="Arial" w:hAnsi="Arial" w:cs="Arial"/>
                <w:b/>
                <w:bCs/>
                <w:color w:val="113274"/>
                <w:sz w:val="48"/>
                <w:szCs w:val="48"/>
              </w:rPr>
              <w:t>2024</w:t>
            </w:r>
          </w:p>
        </w:tc>
        <w:tc>
          <w:tcPr>
            <w:tcW w:w="300" w:type="dxa"/>
            <w:tcBorders>
              <w:top w:val="single" w:sz="4" w:space="0" w:color="FFFFFF" w:themeColor="background1"/>
              <w:left w:val="single" w:sz="4" w:space="0" w:color="D7D8EA"/>
              <w:bottom w:val="single" w:sz="4" w:space="0" w:color="FFFFFF" w:themeColor="background1"/>
              <w:right w:val="single" w:sz="4" w:space="0" w:color="D7D8EA"/>
            </w:tcBorders>
          </w:tcPr>
          <w:p w14:paraId="6269686C" w14:textId="77777777" w:rsidR="00EA241A" w:rsidRDefault="00EA241A"/>
        </w:tc>
        <w:tc>
          <w:tcPr>
            <w:tcW w:w="5092"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00D7D5DF" w14:textId="3B3BB8AB" w:rsidR="00EA241A" w:rsidRPr="00FC0F7F" w:rsidRDefault="00240C03" w:rsidP="00FC0F7F">
            <w:pPr>
              <w:jc w:val="center"/>
              <w:rPr>
                <w:sz w:val="96"/>
                <w:szCs w:val="96"/>
              </w:rPr>
            </w:pPr>
            <w:r>
              <w:rPr>
                <w:rFonts w:ascii="Arial" w:hAnsi="Arial" w:cs="Arial"/>
                <w:b/>
                <w:bCs/>
                <w:color w:val="113274"/>
                <w:sz w:val="96"/>
                <w:szCs w:val="96"/>
              </w:rPr>
              <w:t>96</w:t>
            </w:r>
            <w:r w:rsidR="00FC0F7F" w:rsidRPr="00FC0F7F">
              <w:rPr>
                <w:rFonts w:ascii="Arial" w:hAnsi="Arial" w:cs="Arial"/>
                <w:b/>
                <w:bCs/>
                <w:color w:val="113274"/>
                <w:sz w:val="96"/>
                <w:szCs w:val="96"/>
              </w:rPr>
              <w:t>%</w:t>
            </w:r>
          </w:p>
        </w:tc>
      </w:tr>
      <w:tr w:rsidR="00EA241A" w14:paraId="6ECF4ECF" w14:textId="77777777" w:rsidTr="00A01D3D">
        <w:tc>
          <w:tcPr>
            <w:tcW w:w="5093" w:type="dxa"/>
            <w:tcBorders>
              <w:top w:val="single" w:sz="4" w:space="0" w:color="D7D8EA"/>
              <w:left w:val="single" w:sz="4" w:space="0" w:color="FFFFFF" w:themeColor="background1"/>
              <w:bottom w:val="single" w:sz="4" w:space="0" w:color="113274"/>
              <w:right w:val="single" w:sz="4" w:space="0" w:color="FFFFFF" w:themeColor="background1"/>
            </w:tcBorders>
          </w:tcPr>
          <w:p w14:paraId="426A34CC" w14:textId="77777777" w:rsidR="00EA241A" w:rsidRDefault="00EA241A"/>
        </w:tc>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8418F" w14:textId="77777777" w:rsidR="00EA241A" w:rsidRDefault="00EA241A"/>
        </w:tc>
        <w:tc>
          <w:tcPr>
            <w:tcW w:w="5092" w:type="dxa"/>
            <w:tcBorders>
              <w:top w:val="single" w:sz="4" w:space="0" w:color="D7D8EA"/>
              <w:left w:val="single" w:sz="4" w:space="0" w:color="FFFFFF" w:themeColor="background1"/>
              <w:bottom w:val="single" w:sz="4" w:space="0" w:color="113274"/>
              <w:right w:val="single" w:sz="4" w:space="0" w:color="FFFFFF" w:themeColor="background1"/>
            </w:tcBorders>
          </w:tcPr>
          <w:p w14:paraId="437807C8" w14:textId="77777777" w:rsidR="00EA241A" w:rsidRDefault="00EA241A"/>
        </w:tc>
      </w:tr>
      <w:tr w:rsidR="00EA241A" w14:paraId="2705ABD7"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220F3C29" w14:textId="658F228F"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 xml:space="preserve">ases </w:t>
            </w:r>
            <w:r w:rsidR="003C345B">
              <w:rPr>
                <w:rFonts w:ascii="Arial" w:hAnsi="Arial" w:cs="Arial"/>
                <w:b/>
                <w:bCs/>
                <w:color w:val="FFFFFF" w:themeColor="background1"/>
              </w:rPr>
              <w:t>C</w:t>
            </w:r>
            <w:r>
              <w:rPr>
                <w:rFonts w:ascii="Arial" w:hAnsi="Arial" w:cs="Arial"/>
                <w:b/>
                <w:bCs/>
                <w:color w:val="FFFFFF" w:themeColor="background1"/>
              </w:rPr>
              <w:t>onsidered</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3D83A62B"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E8A9F14" w14:textId="034A370A"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ases by OOC</w:t>
            </w:r>
            <w:r w:rsidR="00501D69">
              <w:rPr>
                <w:rFonts w:ascii="Arial" w:hAnsi="Arial" w:cs="Arial"/>
                <w:b/>
                <w:bCs/>
                <w:color w:val="FFFFFF" w:themeColor="background1"/>
              </w:rPr>
              <w:t>R</w:t>
            </w:r>
            <w:r>
              <w:rPr>
                <w:rFonts w:ascii="Arial" w:hAnsi="Arial" w:cs="Arial"/>
                <w:b/>
                <w:bCs/>
                <w:color w:val="FFFFFF" w:themeColor="background1"/>
              </w:rPr>
              <w:t xml:space="preserve"> </w:t>
            </w:r>
            <w:r w:rsidR="003C345B">
              <w:rPr>
                <w:rFonts w:ascii="Arial" w:hAnsi="Arial" w:cs="Arial"/>
                <w:b/>
                <w:bCs/>
                <w:color w:val="FFFFFF" w:themeColor="background1"/>
              </w:rPr>
              <w:t>T</w:t>
            </w:r>
            <w:r>
              <w:rPr>
                <w:rFonts w:ascii="Arial" w:hAnsi="Arial" w:cs="Arial"/>
                <w:b/>
                <w:bCs/>
                <w:color w:val="FFFFFF" w:themeColor="background1"/>
              </w:rPr>
              <w:t>ype</w:t>
            </w:r>
          </w:p>
        </w:tc>
      </w:tr>
      <w:tr w:rsidR="00FC0F7F" w14:paraId="6A2065A0" w14:textId="77777777" w:rsidTr="000B2677">
        <w:trPr>
          <w:trHeight w:val="3686"/>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1582FF06" w14:textId="6834244B" w:rsidR="00FC0F7F" w:rsidRDefault="003B3856" w:rsidP="003B3856">
            <w:pPr>
              <w:jc w:val="center"/>
            </w:pPr>
            <w:r>
              <w:rPr>
                <w:noProof/>
              </w:rPr>
              <w:drawing>
                <wp:inline distT="0" distB="0" distL="0" distR="0" wp14:anchorId="33612CBC" wp14:editId="7D28552E">
                  <wp:extent cx="2512695" cy="2467610"/>
                  <wp:effectExtent l="0" t="0" r="1905" b="8890"/>
                  <wp:docPr id="6" name="Chart 6" descr="A bar chart which shows 20 Adult cases considered and 8 Youth cases conside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5D7E444C" w14:textId="77777777" w:rsidR="00FC0F7F" w:rsidRDefault="00FC0F7F"/>
        </w:tc>
        <w:tc>
          <w:tcPr>
            <w:tcW w:w="5092" w:type="dxa"/>
            <w:tcBorders>
              <w:top w:val="single" w:sz="4" w:space="0" w:color="113274"/>
              <w:left w:val="single" w:sz="4" w:space="0" w:color="113274"/>
              <w:bottom w:val="single" w:sz="4" w:space="0" w:color="113274"/>
              <w:right w:val="single" w:sz="4" w:space="0" w:color="113274"/>
            </w:tcBorders>
            <w:vAlign w:val="center"/>
          </w:tcPr>
          <w:p w14:paraId="500EFD83" w14:textId="54C2275D" w:rsidR="00FC0F7F" w:rsidRDefault="003B3856" w:rsidP="003B3856">
            <w:pPr>
              <w:jc w:val="center"/>
            </w:pPr>
            <w:r>
              <w:rPr>
                <w:noProof/>
                <w:lang w:eastAsia="en-GB"/>
              </w:rPr>
              <w:drawing>
                <wp:inline distT="0" distB="0" distL="0" distR="0" wp14:anchorId="376CF90C" wp14:editId="0F58B67B">
                  <wp:extent cx="2858770" cy="2421685"/>
                  <wp:effectExtent l="0" t="0" r="0" b="0"/>
                  <wp:docPr id="8" name="Chart 8" descr="A pie chart showing the following the data:&#10;7 cautions, 3 conditional cautions, 9 community resolutions and 3 youth cau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18CB860" w14:textId="76B294DE" w:rsidR="00C734CE" w:rsidRDefault="00C734CE"/>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264B9D" w14:paraId="52C24EE7" w14:textId="77777777" w:rsidTr="00264B9D">
        <w:trPr>
          <w:trHeight w:val="567"/>
        </w:trPr>
        <w:tc>
          <w:tcPr>
            <w:tcW w:w="10485" w:type="dxa"/>
            <w:shd w:val="clear" w:color="auto" w:fill="113274"/>
            <w:tcMar>
              <w:left w:w="0" w:type="dxa"/>
              <w:right w:w="0" w:type="dxa"/>
            </w:tcMar>
            <w:vAlign w:val="center"/>
          </w:tcPr>
          <w:p w14:paraId="33E77D65" w14:textId="08B157C2" w:rsidR="00264B9D" w:rsidRDefault="00264B9D" w:rsidP="00264B9D">
            <w:pPr>
              <w:jc w:val="center"/>
            </w:pPr>
            <w:r>
              <w:rPr>
                <w:rFonts w:ascii="Arial" w:hAnsi="Arial" w:cs="Arial"/>
                <w:b/>
                <w:bCs/>
                <w:color w:val="FFFFFF" w:themeColor="background1"/>
              </w:rPr>
              <w:t xml:space="preserve">Distribution of </w:t>
            </w:r>
            <w:r w:rsidR="003C345B">
              <w:rPr>
                <w:rFonts w:ascii="Arial" w:hAnsi="Arial" w:cs="Arial"/>
                <w:b/>
                <w:bCs/>
                <w:color w:val="FFFFFF" w:themeColor="background1"/>
              </w:rPr>
              <w:t>C</w:t>
            </w:r>
            <w:r>
              <w:rPr>
                <w:rFonts w:ascii="Arial" w:hAnsi="Arial" w:cs="Arial"/>
                <w:b/>
                <w:bCs/>
                <w:color w:val="FFFFFF" w:themeColor="background1"/>
              </w:rPr>
              <w:t xml:space="preserve">ases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264B9D" w14:paraId="26D2C1AD" w14:textId="77777777" w:rsidTr="000B2677">
        <w:trPr>
          <w:trHeight w:val="3686"/>
        </w:trPr>
        <w:tc>
          <w:tcPr>
            <w:tcW w:w="10485" w:type="dxa"/>
            <w:tcMar>
              <w:top w:w="142" w:type="dxa"/>
              <w:left w:w="142" w:type="dxa"/>
              <w:bottom w:w="142" w:type="dxa"/>
              <w:right w:w="142" w:type="dxa"/>
            </w:tcMar>
          </w:tcPr>
          <w:p w14:paraId="0359CB23" w14:textId="7DB2F3A4" w:rsidR="00264B9D" w:rsidRDefault="00264B9D" w:rsidP="00264B9D">
            <w:pPr>
              <w:jc w:val="center"/>
            </w:pPr>
            <w:r>
              <w:rPr>
                <w:noProof/>
              </w:rPr>
              <w:drawing>
                <wp:inline distT="0" distB="0" distL="0" distR="0" wp14:anchorId="5539D8D5" wp14:editId="595D4E65">
                  <wp:extent cx="6172200" cy="2374900"/>
                  <wp:effectExtent l="0" t="0" r="0" b="6350"/>
                  <wp:docPr id="10" name="Chart 10" descr="A bar chart showing the distribution of cases by district. Sheffield had 7 cases, Rotherham had 7 cases, Doncaster had 7 cases and Barnsley had 7 cases. ">
                    <a:extLst xmlns:a="http://schemas.openxmlformats.org/drawingml/2006/main">
                      <a:ext uri="{FF2B5EF4-FFF2-40B4-BE49-F238E27FC236}">
                        <a16:creationId xmlns:a16="http://schemas.microsoft.com/office/drawing/2014/main" id="{36818BFB-3541-4076-9218-670E9D4C4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C060FF8" w14:textId="182AD6AA" w:rsidR="00264B9D" w:rsidRDefault="00264B9D"/>
    <w:p w14:paraId="3E79F653" w14:textId="6B955DFE" w:rsidR="00FC4807" w:rsidRDefault="00FC4807"/>
    <w:tbl>
      <w:tblPr>
        <w:tblStyle w:val="TableGrid"/>
        <w:tblW w:w="10485" w:type="dxa"/>
        <w:tblLayout w:type="fixed"/>
        <w:tblLook w:val="04A0" w:firstRow="1" w:lastRow="0" w:firstColumn="1" w:lastColumn="0" w:noHBand="0" w:noVBand="1"/>
      </w:tblPr>
      <w:tblGrid>
        <w:gridCol w:w="5093"/>
        <w:gridCol w:w="300"/>
        <w:gridCol w:w="5092"/>
      </w:tblGrid>
      <w:tr w:rsidR="00D66C7C" w14:paraId="2F026403" w14:textId="77777777" w:rsidTr="00D66C7C">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0EE739A9" w14:textId="0C3E7B97" w:rsidR="00D66C7C" w:rsidRDefault="00D66C7C" w:rsidP="009B2843">
            <w:pPr>
              <w:jc w:val="center"/>
            </w:pPr>
            <w:r>
              <w:rPr>
                <w:rFonts w:ascii="Arial" w:hAnsi="Arial" w:cs="Arial"/>
                <w:b/>
                <w:bCs/>
                <w:color w:val="FFFFFF" w:themeColor="background1"/>
              </w:rPr>
              <w:lastRenderedPageBreak/>
              <w:t xml:space="preserve">Distribution by </w:t>
            </w:r>
            <w:r w:rsidR="003C345B">
              <w:rPr>
                <w:rFonts w:ascii="Arial" w:hAnsi="Arial" w:cs="Arial"/>
                <w:b/>
                <w:bCs/>
                <w:color w:val="FFFFFF" w:themeColor="background1"/>
              </w:rPr>
              <w:t>P</w:t>
            </w:r>
            <w:r>
              <w:rPr>
                <w:rFonts w:ascii="Arial" w:hAnsi="Arial" w:cs="Arial"/>
                <w:b/>
                <w:bCs/>
                <w:color w:val="FFFFFF" w:themeColor="background1"/>
              </w:rPr>
              <w:t xml:space="preserve">anel </w:t>
            </w:r>
            <w:r w:rsidR="003C345B">
              <w:rPr>
                <w:rFonts w:ascii="Arial" w:hAnsi="Arial" w:cs="Arial"/>
                <w:b/>
                <w:bCs/>
                <w:color w:val="FFFFFF" w:themeColor="background1"/>
              </w:rPr>
              <w:t>D</w:t>
            </w:r>
            <w:r>
              <w:rPr>
                <w:rFonts w:ascii="Arial" w:hAnsi="Arial" w:cs="Arial"/>
                <w:b/>
                <w:bCs/>
                <w:color w:val="FFFFFF" w:themeColor="background1"/>
              </w:rPr>
              <w:t>ecision</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79BB919"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shd w:val="clear" w:color="auto" w:fill="113274"/>
            <w:tcMar>
              <w:top w:w="142" w:type="dxa"/>
              <w:left w:w="142" w:type="dxa"/>
              <w:bottom w:w="142" w:type="dxa"/>
              <w:right w:w="142" w:type="dxa"/>
            </w:tcMar>
            <w:vAlign w:val="center"/>
          </w:tcPr>
          <w:p w14:paraId="0C18D079" w14:textId="44552196" w:rsidR="00D66C7C" w:rsidRDefault="00D66C7C" w:rsidP="009B2843">
            <w:pPr>
              <w:jc w:val="center"/>
            </w:pPr>
            <w:r>
              <w:rPr>
                <w:rFonts w:ascii="Arial" w:hAnsi="Arial" w:cs="Arial"/>
                <w:b/>
                <w:bCs/>
                <w:color w:val="FFFFFF" w:themeColor="background1"/>
              </w:rPr>
              <w:t xml:space="preserve">Distribution of “Inappropriate” </w:t>
            </w:r>
            <w:r>
              <w:rPr>
                <w:rFonts w:ascii="Arial" w:hAnsi="Arial" w:cs="Arial"/>
                <w:b/>
                <w:bCs/>
                <w:color w:val="FFFFFF" w:themeColor="background1"/>
              </w:rPr>
              <w:br/>
            </w:r>
            <w:r w:rsidR="003C345B">
              <w:rPr>
                <w:rFonts w:ascii="Arial" w:hAnsi="Arial" w:cs="Arial"/>
                <w:b/>
                <w:bCs/>
                <w:color w:val="FFFFFF" w:themeColor="background1"/>
              </w:rPr>
              <w:t>O</w:t>
            </w:r>
            <w:r>
              <w:rPr>
                <w:rFonts w:ascii="Arial" w:hAnsi="Arial" w:cs="Arial"/>
                <w:b/>
                <w:bCs/>
                <w:color w:val="FFFFFF" w:themeColor="background1"/>
              </w:rPr>
              <w:t xml:space="preserve">utcomes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D66C7C" w14:paraId="4788CB4F" w14:textId="77777777" w:rsidTr="009B2843">
        <w:trPr>
          <w:trHeight w:val="4253"/>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09C38775" w14:textId="6105FE83" w:rsidR="00D66C7C" w:rsidRDefault="00D66C7C" w:rsidP="009B2843">
            <w:pPr>
              <w:jc w:val="center"/>
            </w:pPr>
            <w:r>
              <w:rPr>
                <w:noProof/>
                <w:lang w:eastAsia="en-GB"/>
              </w:rPr>
              <w:drawing>
                <wp:inline distT="0" distB="0" distL="0" distR="0" wp14:anchorId="3E01CADF" wp14:editId="5C43C94A">
                  <wp:extent cx="2833370" cy="2406658"/>
                  <wp:effectExtent l="0" t="0" r="0" b="0"/>
                  <wp:docPr id="13" name="Chart 13" descr="A pie chart title distribution by panel decision with the following data:&#10;26 appropriate outcomes and one appropriate outcome with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2D30481B"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vAlign w:val="center"/>
          </w:tcPr>
          <w:p w14:paraId="304AFAEB" w14:textId="503C76C4" w:rsidR="00D66C7C" w:rsidRDefault="00D66C7C" w:rsidP="009B2843">
            <w:pPr>
              <w:jc w:val="center"/>
            </w:pPr>
            <w:r>
              <w:rPr>
                <w:noProof/>
                <w:lang w:eastAsia="en-GB"/>
              </w:rPr>
              <w:drawing>
                <wp:inline distT="0" distB="0" distL="0" distR="0" wp14:anchorId="3AA50B21" wp14:editId="0A8BB643">
                  <wp:extent cx="2820670" cy="2501900"/>
                  <wp:effectExtent l="0" t="0" r="0" b="0"/>
                  <wp:docPr id="15" name="Chart 15" descr="A chart titled Distribution of inappropriate outcomes by district with the following data:&#10;Sheffield had 0, Rotherham had 0, Doncaster had 0 and Barnsley had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231E33C" w14:textId="77777777" w:rsidR="00D66C7C" w:rsidRDefault="00D66C7C"/>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D66C7C" w14:paraId="16CF9F40" w14:textId="77777777" w:rsidTr="009B2843">
        <w:trPr>
          <w:trHeight w:val="567"/>
        </w:trPr>
        <w:tc>
          <w:tcPr>
            <w:tcW w:w="10485" w:type="dxa"/>
            <w:shd w:val="clear" w:color="auto" w:fill="113274"/>
            <w:tcMar>
              <w:left w:w="0" w:type="dxa"/>
              <w:right w:w="0" w:type="dxa"/>
            </w:tcMar>
            <w:vAlign w:val="center"/>
          </w:tcPr>
          <w:p w14:paraId="0FD91A38" w14:textId="533149E5" w:rsidR="00D66C7C" w:rsidRDefault="00757094" w:rsidP="009B2843">
            <w:pPr>
              <w:jc w:val="center"/>
            </w:pPr>
            <w:r>
              <w:rPr>
                <w:rFonts w:ascii="Arial" w:hAnsi="Arial" w:cs="Arial"/>
                <w:b/>
                <w:bCs/>
                <w:color w:val="FFFFFF" w:themeColor="background1"/>
              </w:rPr>
              <w:t>Common Themes Identified and Any Additional Comments</w:t>
            </w:r>
          </w:p>
        </w:tc>
      </w:tr>
      <w:tr w:rsidR="00D66C7C" w14:paraId="17E0197D" w14:textId="77777777" w:rsidTr="009B2843">
        <w:trPr>
          <w:trHeight w:val="4253"/>
        </w:trPr>
        <w:tc>
          <w:tcPr>
            <w:tcW w:w="10485" w:type="dxa"/>
            <w:tcMar>
              <w:top w:w="142" w:type="dxa"/>
              <w:left w:w="142" w:type="dxa"/>
              <w:bottom w:w="142" w:type="dxa"/>
              <w:right w:w="142" w:type="dxa"/>
            </w:tcMar>
          </w:tcPr>
          <w:p w14:paraId="23788B1F" w14:textId="77777777" w:rsidR="00F20AFA" w:rsidRDefault="00F20AFA" w:rsidP="00A95373">
            <w:pPr>
              <w:rPr>
                <w:rFonts w:cs="Arial"/>
                <w:color w:val="000000"/>
                <w:sz w:val="22"/>
                <w:szCs w:val="22"/>
              </w:rPr>
            </w:pPr>
            <w:r>
              <w:rPr>
                <w:rFonts w:cs="Arial"/>
                <w:color w:val="000000"/>
                <w:sz w:val="22"/>
                <w:szCs w:val="22"/>
              </w:rPr>
              <w:t xml:space="preserve">The Adult cases considered by this Panel all related to the use of OOCR in Domestic Abuse investigations.  </w:t>
            </w:r>
          </w:p>
          <w:p w14:paraId="133163A9" w14:textId="77777777" w:rsidR="00F20AFA" w:rsidRDefault="00F20AFA" w:rsidP="00A95373">
            <w:pPr>
              <w:rPr>
                <w:rFonts w:cs="Arial"/>
                <w:color w:val="000000"/>
                <w:sz w:val="22"/>
                <w:szCs w:val="22"/>
              </w:rPr>
            </w:pPr>
          </w:p>
          <w:p w14:paraId="522F6BA8" w14:textId="627DE7C5" w:rsidR="00D66C7C" w:rsidRPr="00F20AFA" w:rsidRDefault="00F20AFA" w:rsidP="00A95373">
            <w:pPr>
              <w:rPr>
                <w:rFonts w:cs="Arial"/>
                <w:color w:val="000000"/>
                <w:sz w:val="22"/>
                <w:szCs w:val="22"/>
              </w:rPr>
            </w:pPr>
            <w:r w:rsidRPr="00F20AFA">
              <w:rPr>
                <w:rFonts w:cs="Arial"/>
                <w:color w:val="000000"/>
                <w:sz w:val="22"/>
                <w:szCs w:val="22"/>
              </w:rPr>
              <w:t>The Panel stated that it was reassuring that the outcomes in the D</w:t>
            </w:r>
            <w:r>
              <w:rPr>
                <w:rFonts w:cs="Arial"/>
                <w:color w:val="000000"/>
                <w:sz w:val="22"/>
                <w:szCs w:val="22"/>
              </w:rPr>
              <w:t xml:space="preserve">omestic </w:t>
            </w:r>
            <w:r w:rsidRPr="00F20AFA">
              <w:rPr>
                <w:rFonts w:cs="Arial"/>
                <w:color w:val="000000"/>
                <w:sz w:val="22"/>
                <w:szCs w:val="22"/>
              </w:rPr>
              <w:t>A</w:t>
            </w:r>
            <w:r>
              <w:rPr>
                <w:rFonts w:cs="Arial"/>
                <w:color w:val="000000"/>
                <w:sz w:val="22"/>
                <w:szCs w:val="22"/>
              </w:rPr>
              <w:t>buse</w:t>
            </w:r>
            <w:r w:rsidRPr="00F20AFA">
              <w:rPr>
                <w:rFonts w:cs="Arial"/>
                <w:color w:val="000000"/>
                <w:sz w:val="22"/>
                <w:szCs w:val="22"/>
              </w:rPr>
              <w:t xml:space="preserve"> cases considered were in the main appropriate and proportionate, but that some cases may have benefitted from additional rationale, for instance how </w:t>
            </w:r>
            <w:proofErr w:type="gramStart"/>
            <w:r w:rsidRPr="00F20AFA">
              <w:rPr>
                <w:rFonts w:cs="Arial"/>
                <w:color w:val="000000"/>
                <w:sz w:val="22"/>
                <w:szCs w:val="22"/>
              </w:rPr>
              <w:t>an evidence</w:t>
            </w:r>
            <w:proofErr w:type="gramEnd"/>
            <w:r w:rsidRPr="00F20AFA">
              <w:rPr>
                <w:rFonts w:cs="Arial"/>
                <w:color w:val="000000"/>
                <w:sz w:val="22"/>
                <w:szCs w:val="22"/>
              </w:rPr>
              <w:t xml:space="preserve"> led prosecution had been considered and discounted.</w:t>
            </w:r>
          </w:p>
          <w:p w14:paraId="562FC05A" w14:textId="77777777" w:rsidR="00F20AFA" w:rsidRPr="00F20AFA" w:rsidRDefault="00F20AFA" w:rsidP="00A95373">
            <w:pPr>
              <w:rPr>
                <w:rFonts w:cs="Arial"/>
                <w:color w:val="000000"/>
                <w:sz w:val="22"/>
                <w:szCs w:val="22"/>
              </w:rPr>
            </w:pPr>
          </w:p>
          <w:p w14:paraId="35169458" w14:textId="77777777" w:rsidR="00F20AFA" w:rsidRPr="00826604" w:rsidRDefault="00F20AFA" w:rsidP="00F20AFA">
            <w:pPr>
              <w:pStyle w:val="Default"/>
              <w:rPr>
                <w:rFonts w:asciiTheme="minorHAnsi" w:hAnsiTheme="minorHAnsi"/>
                <w:sz w:val="22"/>
                <w:szCs w:val="22"/>
              </w:rPr>
            </w:pPr>
            <w:r>
              <w:rPr>
                <w:rFonts w:asciiTheme="minorHAnsi" w:hAnsiTheme="minorHAnsi"/>
                <w:sz w:val="22"/>
                <w:szCs w:val="22"/>
              </w:rPr>
              <w:t xml:space="preserve">1 case </w:t>
            </w:r>
            <w:proofErr w:type="gramStart"/>
            <w:r w:rsidRPr="00826604">
              <w:rPr>
                <w:rFonts w:asciiTheme="minorHAnsi" w:hAnsiTheme="minorHAnsi"/>
                <w:sz w:val="22"/>
                <w:szCs w:val="22"/>
              </w:rPr>
              <w:t>w</w:t>
            </w:r>
            <w:r>
              <w:rPr>
                <w:rFonts w:asciiTheme="minorHAnsi" w:hAnsiTheme="minorHAnsi"/>
                <w:sz w:val="22"/>
                <w:szCs w:val="22"/>
              </w:rPr>
              <w:t>as</w:t>
            </w:r>
            <w:r w:rsidRPr="00826604">
              <w:rPr>
                <w:rFonts w:asciiTheme="minorHAnsi" w:hAnsiTheme="minorHAnsi"/>
                <w:sz w:val="22"/>
                <w:szCs w:val="22"/>
              </w:rPr>
              <w:t xml:space="preserve"> considered to be</w:t>
            </w:r>
            <w:proofErr w:type="gramEnd"/>
            <w:r w:rsidRPr="00826604">
              <w:rPr>
                <w:rFonts w:asciiTheme="minorHAnsi" w:hAnsiTheme="minorHAnsi"/>
                <w:sz w:val="22"/>
                <w:szCs w:val="22"/>
              </w:rPr>
              <w:t xml:space="preserve"> inappropriate and/or inconsistent with guidance, organisational policy and procedures.</w:t>
            </w:r>
            <w:r>
              <w:rPr>
                <w:rFonts w:asciiTheme="minorHAnsi" w:hAnsiTheme="minorHAnsi"/>
                <w:sz w:val="22"/>
                <w:szCs w:val="22"/>
              </w:rPr>
              <w:t xml:space="preserve">   This related to a Simple Caution given for stalking.  While it was considered that the Caution itself was not unlawful, given the evidence and the nature of the offence, there was an expectation from the panel that this ought to have been referred to CPS for a charging decision.</w:t>
            </w:r>
          </w:p>
          <w:p w14:paraId="1A6A95FD" w14:textId="0608CE46" w:rsidR="0031507B" w:rsidRPr="00F20AFA" w:rsidRDefault="0031507B" w:rsidP="00A95373">
            <w:pPr>
              <w:rPr>
                <w:rFonts w:cs="Arial"/>
                <w:color w:val="000000"/>
                <w:sz w:val="22"/>
                <w:szCs w:val="22"/>
              </w:rPr>
            </w:pPr>
          </w:p>
          <w:p w14:paraId="361D29FA" w14:textId="37AE02B8" w:rsidR="002327AD" w:rsidRDefault="00F20AFA" w:rsidP="00F20AFA">
            <w:pPr>
              <w:pStyle w:val="Default"/>
            </w:pPr>
            <w:r>
              <w:rPr>
                <w:rFonts w:asciiTheme="minorHAnsi" w:hAnsiTheme="minorHAnsi"/>
                <w:sz w:val="22"/>
                <w:szCs w:val="22"/>
              </w:rPr>
              <w:t xml:space="preserve">2 cases were </w:t>
            </w:r>
            <w:r w:rsidRPr="00FF4A4C">
              <w:rPr>
                <w:rFonts w:asciiTheme="minorHAnsi" w:hAnsiTheme="minorHAnsi"/>
                <w:sz w:val="22"/>
                <w:szCs w:val="22"/>
              </w:rPr>
              <w:t>considered by the panel to be appropriate and consistent with relevant guidance and organisational policy and procedures – with observations</w:t>
            </w:r>
            <w:r>
              <w:rPr>
                <w:rFonts w:asciiTheme="minorHAnsi" w:hAnsiTheme="minorHAnsi"/>
                <w:sz w:val="22"/>
                <w:szCs w:val="22"/>
              </w:rPr>
              <w:t xml:space="preserve">.  In one case the observations related to the detail of the Inspectors rationale and how this would have benefitted from some additional information and the other related to the initial absence of an Inspector’s written rationale. </w:t>
            </w:r>
          </w:p>
        </w:tc>
      </w:tr>
    </w:tbl>
    <w:p w14:paraId="638F9029" w14:textId="77777777" w:rsidR="00D66C7C" w:rsidRDefault="00D66C7C"/>
    <w:p w14:paraId="39BD45A1" w14:textId="77777777" w:rsidR="00536451" w:rsidRDefault="00536451"/>
    <w:p w14:paraId="061EC80A" w14:textId="481D8FAF" w:rsidR="00536451" w:rsidRDefault="00536451" w:rsidP="00536451">
      <w:pPr>
        <w:jc w:val="center"/>
      </w:pPr>
      <w:r>
        <w:rPr>
          <w:noProof/>
        </w:rPr>
        <w:drawing>
          <wp:inline distT="0" distB="0" distL="0" distR="0" wp14:anchorId="311E043E" wp14:editId="67487DDD">
            <wp:extent cx="2189338" cy="1523808"/>
            <wp:effectExtent l="0" t="0" r="1905" b="635"/>
            <wp:docPr id="2" name="Picture 2" descr="Logo with the text - Out of Court Resolution - Delivering justice with fair outcomes for victims, offenders &amp; communiti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ith the text - Out of Court Resolution - Delivering justice with fair outcomes for victims, offenders &amp; communities ">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5316" cy="1541889"/>
                    </a:xfrm>
                    <a:prstGeom prst="rect">
                      <a:avLst/>
                    </a:prstGeom>
                  </pic:spPr>
                </pic:pic>
              </a:graphicData>
            </a:graphic>
          </wp:inline>
        </w:drawing>
      </w:r>
    </w:p>
    <w:sectPr w:rsidR="00536451" w:rsidSect="000B2677">
      <w:headerReference w:type="default" r:id="rId13"/>
      <w:headerReference w:type="first" r:id="rId14"/>
      <w:pgSz w:w="11900" w:h="16840"/>
      <w:pgMar w:top="2106" w:right="720" w:bottom="720" w:left="720" w:header="5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95A" w14:textId="77777777" w:rsidR="00AC64B8" w:rsidRDefault="00AC64B8" w:rsidP="00F33FDC">
      <w:r>
        <w:separator/>
      </w:r>
    </w:p>
  </w:endnote>
  <w:endnote w:type="continuationSeparator" w:id="0">
    <w:p w14:paraId="5CB81494" w14:textId="77777777" w:rsidR="00AC64B8" w:rsidRDefault="00AC64B8" w:rsidP="00F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2FAE" w14:textId="77777777" w:rsidR="00AC64B8" w:rsidRDefault="00AC64B8" w:rsidP="00F33FDC">
      <w:r>
        <w:separator/>
      </w:r>
    </w:p>
  </w:footnote>
  <w:footnote w:type="continuationSeparator" w:id="0">
    <w:p w14:paraId="757C1F8D" w14:textId="77777777" w:rsidR="00AC64B8" w:rsidRDefault="00AC64B8" w:rsidP="00F3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2A10" w14:textId="4D268CEE" w:rsidR="00F33FDC" w:rsidRPr="00F33FDC" w:rsidRDefault="00332FCF">
    <w:pPr>
      <w:pStyle w:val="Header"/>
      <w:rPr>
        <w:rFonts w:ascii="Arial" w:hAnsi="Arial" w:cs="Arial"/>
        <w:b/>
        <w:bCs/>
        <w:color w:val="FFFFFF" w:themeColor="background1"/>
        <w:sz w:val="32"/>
        <w:szCs w:val="32"/>
      </w:rPr>
    </w:pPr>
    <w:r>
      <w:rPr>
        <w:rFonts w:ascii="Arial" w:hAnsi="Arial" w:cs="Arial"/>
        <w:b/>
        <w:bCs/>
        <w:noProof/>
        <w:color w:val="FFFFFF" w:themeColor="background1"/>
        <w:sz w:val="32"/>
        <w:szCs w:val="32"/>
      </w:rPr>
      <mc:AlternateContent>
        <mc:Choice Requires="wps">
          <w:drawing>
            <wp:anchor distT="0" distB="0" distL="114300" distR="114300" simplePos="0" relativeHeight="251666432" behindDoc="0" locked="0" layoutInCell="1" allowOverlap="1" wp14:anchorId="5AF968FE" wp14:editId="2A82B0A6">
              <wp:simplePos x="0" y="0"/>
              <wp:positionH relativeFrom="column">
                <wp:posOffset>0</wp:posOffset>
              </wp:positionH>
              <wp:positionV relativeFrom="paragraph">
                <wp:posOffset>0</wp:posOffset>
              </wp:positionV>
              <wp:extent cx="3844800" cy="540000"/>
              <wp:effectExtent l="0" t="0" r="22860" b="1270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F968FE" id="_x0000_t202" coordsize="21600,21600" o:spt="202" path="m,l,21600r21600,l21600,xe">
              <v:stroke joinstyle="miter"/>
              <v:path gradientshapeok="t" o:connecttype="rect"/>
            </v:shapetype>
            <v:shape id="Text Box 4" o:spid="_x0000_s1026" type="#_x0000_t202" alt="&quot;&quot;" style="position:absolute;margin-left:0;margin-top:0;width:302.75pt;height: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k/NgIAAHw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" fillcolor="white [3201]" strokeweight=".5pt">
              <v:textbo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3C345B">
      <w:rPr>
        <w:rFonts w:ascii="Arial" w:hAnsi="Arial" w:cs="Arial"/>
        <w:b/>
        <w:bCs/>
        <w:noProof/>
        <w:color w:val="FFFFFF" w:themeColor="background1"/>
        <w:sz w:val="32"/>
        <w:szCs w:val="32"/>
      </w:rPr>
      <w:drawing>
        <wp:anchor distT="0" distB="0" distL="114300" distR="114300" simplePos="0" relativeHeight="251663360" behindDoc="1" locked="0" layoutInCell="1" allowOverlap="1" wp14:anchorId="3450946F" wp14:editId="125B3B25">
          <wp:simplePos x="0" y="0"/>
          <wp:positionH relativeFrom="column">
            <wp:posOffset>-457200</wp:posOffset>
          </wp:positionH>
          <wp:positionV relativeFrom="paragraph">
            <wp:posOffset>-330835</wp:posOffset>
          </wp:positionV>
          <wp:extent cx="7599000" cy="1072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D66C7C">
      <w:rPr>
        <w:rFonts w:ascii="Arial" w:hAnsi="Arial" w:cs="Arial"/>
        <w:b/>
        <w:bCs/>
        <w:noProof/>
        <w:color w:val="FFFFFF" w:themeColor="background1"/>
        <w:sz w:val="32"/>
        <w:szCs w:val="32"/>
      </w:rPr>
      <w:drawing>
        <wp:anchor distT="0" distB="0" distL="114300" distR="114300" simplePos="0" relativeHeight="251661312" behindDoc="1" locked="0" layoutInCell="1" allowOverlap="1" wp14:anchorId="4D27176A" wp14:editId="3D4FE3A8">
          <wp:simplePos x="0" y="0"/>
          <wp:positionH relativeFrom="column">
            <wp:posOffset>-455039</wp:posOffset>
          </wp:positionH>
          <wp:positionV relativeFrom="paragraph">
            <wp:posOffset>-330200</wp:posOffset>
          </wp:positionV>
          <wp:extent cx="7549200" cy="106560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3C2" w14:textId="11FA9036" w:rsidR="00D66C7C" w:rsidRDefault="00501D69" w:rsidP="00501D69">
    <w:pPr>
      <w:pStyle w:val="Header"/>
      <w:tabs>
        <w:tab w:val="clear" w:pos="4513"/>
        <w:tab w:val="clear" w:pos="9026"/>
        <w:tab w:val="left" w:pos="2205"/>
        <w:tab w:val="center" w:pos="5230"/>
      </w:tabs>
    </w:pPr>
    <w:r>
      <w:rPr>
        <w:rFonts w:ascii="Arial" w:hAnsi="Arial" w:cs="Arial"/>
        <w:b/>
        <w:bCs/>
        <w:noProof/>
        <w:color w:val="FFFFFF" w:themeColor="background1"/>
        <w:sz w:val="32"/>
        <w:szCs w:val="32"/>
      </w:rPr>
      <mc:AlternateContent>
        <mc:Choice Requires="wps">
          <w:drawing>
            <wp:anchor distT="0" distB="0" distL="114300" distR="114300" simplePos="0" relativeHeight="251664384" behindDoc="0" locked="0" layoutInCell="1" allowOverlap="1" wp14:anchorId="547B159F" wp14:editId="72BF8B6C">
              <wp:simplePos x="0" y="0"/>
              <wp:positionH relativeFrom="column">
                <wp:posOffset>-97200</wp:posOffset>
              </wp:positionH>
              <wp:positionV relativeFrom="paragraph">
                <wp:posOffset>-54685</wp:posOffset>
              </wp:positionV>
              <wp:extent cx="3844800" cy="540000"/>
              <wp:effectExtent l="0" t="0" r="22860"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7B159F" id="_x0000_t202" coordsize="21600,21600" o:spt="202" path="m,l,21600r21600,l21600,xe">
              <v:stroke joinstyle="miter"/>
              <v:path gradientshapeok="t" o:connecttype="rect"/>
            </v:shapetype>
            <v:shape id="Text Box 3" o:spid="_x0000_s1027" type="#_x0000_t202" alt="&quot;&quot;" style="position:absolute;margin-left:-7.65pt;margin-top:-4.3pt;width:302.75pt;height: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LIOQIAAIM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" fillcolor="white [3201]" strokeweight=".5pt">
              <v:textbo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D66C7C">
      <w:rPr>
        <w:rFonts w:ascii="Arial" w:hAnsi="Arial" w:cs="Arial"/>
        <w:b/>
        <w:bCs/>
        <w:noProof/>
        <w:color w:val="FFFFFF" w:themeColor="background1"/>
        <w:sz w:val="32"/>
        <w:szCs w:val="32"/>
      </w:rPr>
      <w:drawing>
        <wp:anchor distT="0" distB="0" distL="114300" distR="114300" simplePos="0" relativeHeight="251660288" behindDoc="1" locked="0" layoutInCell="1" allowOverlap="1" wp14:anchorId="165D8A19" wp14:editId="7490DE9C">
          <wp:simplePos x="0" y="0"/>
          <wp:positionH relativeFrom="column">
            <wp:posOffset>-515566</wp:posOffset>
          </wp:positionH>
          <wp:positionV relativeFrom="paragraph">
            <wp:posOffset>-340157</wp:posOffset>
          </wp:positionV>
          <wp:extent cx="7599000" cy="10728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3C3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46B1"/>
    <w:multiLevelType w:val="hybridMultilevel"/>
    <w:tmpl w:val="9356C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567BC6"/>
    <w:multiLevelType w:val="hybridMultilevel"/>
    <w:tmpl w:val="4184CB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16cid:durableId="1367372824">
    <w:abstractNumId w:val="1"/>
  </w:num>
  <w:num w:numId="2" w16cid:durableId="121249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A"/>
    <w:rsid w:val="000B2677"/>
    <w:rsid w:val="000C4388"/>
    <w:rsid w:val="00203F84"/>
    <w:rsid w:val="002327AD"/>
    <w:rsid w:val="00240C03"/>
    <w:rsid w:val="00264B9D"/>
    <w:rsid w:val="0031507B"/>
    <w:rsid w:val="00332FCF"/>
    <w:rsid w:val="003556D9"/>
    <w:rsid w:val="003B3856"/>
    <w:rsid w:val="003B7ACC"/>
    <w:rsid w:val="003C345B"/>
    <w:rsid w:val="003E293F"/>
    <w:rsid w:val="004A53EB"/>
    <w:rsid w:val="00501D69"/>
    <w:rsid w:val="0050636F"/>
    <w:rsid w:val="00536451"/>
    <w:rsid w:val="00552846"/>
    <w:rsid w:val="00606830"/>
    <w:rsid w:val="0064336E"/>
    <w:rsid w:val="006D729E"/>
    <w:rsid w:val="00757094"/>
    <w:rsid w:val="007A03AF"/>
    <w:rsid w:val="00815126"/>
    <w:rsid w:val="008E0F9A"/>
    <w:rsid w:val="009F685F"/>
    <w:rsid w:val="00A01D3D"/>
    <w:rsid w:val="00A95373"/>
    <w:rsid w:val="00AC64B8"/>
    <w:rsid w:val="00AE2D8F"/>
    <w:rsid w:val="00B576B9"/>
    <w:rsid w:val="00BE0F96"/>
    <w:rsid w:val="00C734CE"/>
    <w:rsid w:val="00CC269E"/>
    <w:rsid w:val="00CC3039"/>
    <w:rsid w:val="00D3199F"/>
    <w:rsid w:val="00D66C7C"/>
    <w:rsid w:val="00EA241A"/>
    <w:rsid w:val="00F20AFA"/>
    <w:rsid w:val="00F33FDC"/>
    <w:rsid w:val="00FC0F7F"/>
    <w:rsid w:val="00FC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24FB"/>
  <w15:chartTrackingRefBased/>
  <w15:docId w15:val="{9B4E3C8A-6FD0-324F-8108-9D8BAC25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DC"/>
    <w:pPr>
      <w:tabs>
        <w:tab w:val="center" w:pos="4513"/>
        <w:tab w:val="right" w:pos="9026"/>
      </w:tabs>
    </w:pPr>
  </w:style>
  <w:style w:type="character" w:customStyle="1" w:styleId="HeaderChar">
    <w:name w:val="Header Char"/>
    <w:basedOn w:val="DefaultParagraphFont"/>
    <w:link w:val="Header"/>
    <w:uiPriority w:val="99"/>
    <w:rsid w:val="00F33FDC"/>
  </w:style>
  <w:style w:type="paragraph" w:styleId="Footer">
    <w:name w:val="footer"/>
    <w:basedOn w:val="Normal"/>
    <w:link w:val="FooterChar"/>
    <w:uiPriority w:val="99"/>
    <w:unhideWhenUsed/>
    <w:rsid w:val="00F33FDC"/>
    <w:pPr>
      <w:tabs>
        <w:tab w:val="center" w:pos="4513"/>
        <w:tab w:val="right" w:pos="9026"/>
      </w:tabs>
    </w:pPr>
  </w:style>
  <w:style w:type="character" w:customStyle="1" w:styleId="FooterChar">
    <w:name w:val="Footer Char"/>
    <w:basedOn w:val="DefaultParagraphFont"/>
    <w:link w:val="Footer"/>
    <w:uiPriority w:val="99"/>
    <w:rsid w:val="00F33FDC"/>
  </w:style>
  <w:style w:type="paragraph" w:styleId="ListParagraph">
    <w:name w:val="List Paragraph"/>
    <w:basedOn w:val="Normal"/>
    <w:uiPriority w:val="34"/>
    <w:qFormat/>
    <w:rsid w:val="00A95373"/>
    <w:pPr>
      <w:ind w:left="720"/>
      <w:contextualSpacing/>
    </w:pPr>
  </w:style>
  <w:style w:type="paragraph" w:customStyle="1" w:styleId="Default">
    <w:name w:val="Default"/>
    <w:rsid w:val="00F20AF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DFF6-BE46-B6B2-263B6C845827}"/>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DFF6-BE46-B6B2-263B6C8458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Sheet1!$A$3:$B$3</c:f>
              <c:strCache>
                <c:ptCount val="2"/>
                <c:pt idx="0">
                  <c:v>Adult</c:v>
                </c:pt>
                <c:pt idx="1">
                  <c:v>Youth</c:v>
                </c:pt>
              </c:strCache>
            </c:strRef>
          </c:cat>
          <c:val>
            <c:numRef>
              <c:f>Sheet1!$A$4:$B$4</c:f>
              <c:numCache>
                <c:formatCode>General</c:formatCode>
                <c:ptCount val="2"/>
                <c:pt idx="0">
                  <c:v>20</c:v>
                </c:pt>
                <c:pt idx="1">
                  <c:v>7</c:v>
                </c:pt>
              </c:numCache>
            </c:numRef>
          </c:val>
          <c:extLst>
            <c:ext xmlns:c16="http://schemas.microsoft.com/office/drawing/2014/chart" uri="{C3380CC4-5D6E-409C-BE32-E72D297353CC}">
              <c16:uniqueId val="{00000004-DFF6-BE46-B6B2-263B6C845827}"/>
            </c:ext>
          </c:extLst>
        </c:ser>
        <c:dLbls>
          <c:showLegendKey val="0"/>
          <c:showVal val="0"/>
          <c:showCatName val="0"/>
          <c:showSerName val="0"/>
          <c:showPercent val="0"/>
          <c:showBubbleSize val="0"/>
        </c:dLbls>
        <c:gapWidth val="219"/>
        <c:overlap val="-27"/>
        <c:axId val="320138848"/>
        <c:axId val="4380568"/>
      </c:barChart>
      <c:catAx>
        <c:axId val="3201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0568"/>
        <c:crosses val="autoZero"/>
        <c:auto val="1"/>
        <c:lblAlgn val="ctr"/>
        <c:lblOffset val="100"/>
        <c:noMultiLvlLbl val="0"/>
      </c:catAx>
      <c:valAx>
        <c:axId val="438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38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27155385008232E-2"/>
          <c:y val="0.2107762296825407"/>
          <c:w val="0.48992014047999666"/>
          <c:h val="0.57844754063491866"/>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D66-4D4E-A316-4CD6C90DCE85}"/>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D66-4D4E-A316-4CD6C90DCE85}"/>
              </c:ext>
            </c:extLst>
          </c:dPt>
          <c:dPt>
            <c:idx val="2"/>
            <c:bubble3D val="0"/>
            <c:spPr>
              <a:solidFill>
                <a:srgbClr val="9A57CD"/>
              </a:solidFill>
              <a:ln w="19050">
                <a:solidFill>
                  <a:schemeClr val="lt1"/>
                </a:solidFill>
              </a:ln>
              <a:effectLst/>
            </c:spPr>
            <c:extLst>
              <c:ext xmlns:c16="http://schemas.microsoft.com/office/drawing/2014/chart" uri="{C3380CC4-5D6E-409C-BE32-E72D297353CC}">
                <c16:uniqueId val="{00000005-CD66-4D4E-A316-4CD6C90DCE85}"/>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CD66-4D4E-A316-4CD6C90DCE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D66-4D4E-A316-4CD6C90DCE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Sheet1!$G$3:$K$3</c:f>
              <c:strCache>
                <c:ptCount val="5"/>
                <c:pt idx="0">
                  <c:v>Caution</c:v>
                </c:pt>
                <c:pt idx="1">
                  <c:v>Conditional Caution</c:v>
                </c:pt>
                <c:pt idx="2">
                  <c:v>Community Resolution</c:v>
                </c:pt>
                <c:pt idx="3">
                  <c:v>Youth Caution</c:v>
                </c:pt>
                <c:pt idx="4">
                  <c:v>Youth Conditional Caution</c:v>
                </c:pt>
              </c:strCache>
            </c:strRef>
          </c:cat>
          <c:val>
            <c:numRef>
              <c:f>Sheet1!$G$4:$K$4</c:f>
              <c:numCache>
                <c:formatCode>General</c:formatCode>
                <c:ptCount val="5"/>
                <c:pt idx="0">
                  <c:v>12</c:v>
                </c:pt>
                <c:pt idx="1">
                  <c:v>0</c:v>
                </c:pt>
                <c:pt idx="2">
                  <c:v>8</c:v>
                </c:pt>
                <c:pt idx="3">
                  <c:v>3</c:v>
                </c:pt>
                <c:pt idx="4">
                  <c:v>4</c:v>
                </c:pt>
              </c:numCache>
            </c:numRef>
          </c:val>
          <c:extLst>
            <c:ext xmlns:c16="http://schemas.microsoft.com/office/drawing/2014/chart" uri="{C3380CC4-5D6E-409C-BE32-E72D297353CC}">
              <c16:uniqueId val="{0000000A-CD66-4D4E-A316-4CD6C90DCE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16210118337615"/>
          <c:y val="6.3332032355121623E-2"/>
          <c:w val="0.30174060872333208"/>
          <c:h val="0.89431637725064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31736657917761"/>
          <c:y val="0.17171296296296298"/>
          <c:w val="0.80101596675415576"/>
          <c:h val="0.72088764946048411"/>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D1A-9F40-9649-1B4B91FA0EE4}"/>
              </c:ext>
            </c:extLst>
          </c:dPt>
          <c:dPt>
            <c:idx val="2"/>
            <c:invertIfNegative val="0"/>
            <c:bubble3D val="0"/>
            <c:spPr>
              <a:solidFill>
                <a:srgbClr val="92D050"/>
              </a:solidFill>
              <a:ln>
                <a:noFill/>
              </a:ln>
              <a:effectLst/>
            </c:spPr>
            <c:extLst>
              <c:ext xmlns:c16="http://schemas.microsoft.com/office/drawing/2014/chart" uri="{C3380CC4-5D6E-409C-BE32-E72D297353CC}">
                <c16:uniqueId val="{00000003-5D1A-9F40-9649-1B4B91FA0EE4}"/>
              </c:ext>
            </c:extLst>
          </c:dPt>
          <c:dPt>
            <c:idx val="3"/>
            <c:invertIfNegative val="0"/>
            <c:bubble3D val="0"/>
            <c:spPr>
              <a:solidFill>
                <a:srgbClr val="7030A0"/>
              </a:solidFill>
              <a:ln>
                <a:noFill/>
              </a:ln>
              <a:effectLst/>
            </c:spPr>
            <c:extLst>
              <c:ext xmlns:c16="http://schemas.microsoft.com/office/drawing/2014/chart" uri="{C3380CC4-5D6E-409C-BE32-E72D297353CC}">
                <c16:uniqueId val="{00000005-5D1A-9F40-9649-1B4B91FA0EE4}"/>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7-5D1A-9F40-9649-1B4B91FA0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Sheet1!$K$7:$O$7</c:f>
              <c:strCache>
                <c:ptCount val="4"/>
                <c:pt idx="0">
                  <c:v>Barnsley</c:v>
                </c:pt>
                <c:pt idx="1">
                  <c:v>Doncaster</c:v>
                </c:pt>
                <c:pt idx="2">
                  <c:v>Rotherham</c:v>
                </c:pt>
                <c:pt idx="3">
                  <c:v>Sheffield</c:v>
                </c:pt>
              </c:strCache>
            </c:strRef>
          </c:cat>
          <c:val>
            <c:numRef>
              <c:f>Sheet1!$K$8:$O$8</c:f>
              <c:numCache>
                <c:formatCode>General</c:formatCode>
                <c:ptCount val="5"/>
                <c:pt idx="0">
                  <c:v>7</c:v>
                </c:pt>
                <c:pt idx="1">
                  <c:v>5</c:v>
                </c:pt>
                <c:pt idx="2">
                  <c:v>6</c:v>
                </c:pt>
                <c:pt idx="3">
                  <c:v>9</c:v>
                </c:pt>
              </c:numCache>
            </c:numRef>
          </c:val>
          <c:extLst>
            <c:ext xmlns:c16="http://schemas.microsoft.com/office/drawing/2014/chart" uri="{C3380CC4-5D6E-409C-BE32-E72D297353CC}">
              <c16:uniqueId val="{00000008-5D1A-9F40-9649-1B4B91FA0EE4}"/>
            </c:ext>
          </c:extLst>
        </c:ser>
        <c:dLbls>
          <c:showLegendKey val="0"/>
          <c:showVal val="0"/>
          <c:showCatName val="0"/>
          <c:showSerName val="0"/>
          <c:showPercent val="0"/>
          <c:showBubbleSize val="0"/>
        </c:dLbls>
        <c:gapWidth val="182"/>
        <c:axId val="556028176"/>
        <c:axId val="556029008"/>
      </c:barChart>
      <c:catAx>
        <c:axId val="55602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9008"/>
        <c:crosses val="autoZero"/>
        <c:auto val="1"/>
        <c:lblAlgn val="ctr"/>
        <c:lblOffset val="100"/>
        <c:noMultiLvlLbl val="0"/>
      </c:catAx>
      <c:valAx>
        <c:axId val="556029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8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D2D-2E43-916E-0AA165928B9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D2D-2E43-916E-0AA165928B9A}"/>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2D2D-2E43-916E-0AA165928B9A}"/>
              </c:ext>
            </c:extLst>
          </c:dPt>
          <c:dLbls>
            <c:dLbl>
              <c:idx val="0"/>
              <c:tx>
                <c:rich>
                  <a:bodyPr/>
                  <a:lstStyle/>
                  <a:p>
                    <a:fld id="{24053DBC-E441-43B1-B4E4-9D0267FE7C33}" type="VALUE">
                      <a:rPr lang="en-US" b="1">
                        <a:solidFill>
                          <a:schemeClr val="bg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2D-2E43-916E-0AA165928B9A}"/>
                </c:ext>
              </c:extLst>
            </c:dLbl>
            <c:dLbl>
              <c:idx val="2"/>
              <c:delete val="1"/>
              <c:extLst>
                <c:ext xmlns:c15="http://schemas.microsoft.com/office/drawing/2012/chart" uri="{CE6537A1-D6FC-4f65-9D91-7224C49458BB}"/>
                <c:ext xmlns:c16="http://schemas.microsoft.com/office/drawing/2014/chart" uri="{C3380CC4-5D6E-409C-BE32-E72D297353CC}">
                  <c16:uniqueId val="{00000005-2D2D-2E43-916E-0AA165928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Sheet1!$N$3:$P$3</c:f>
              <c:strCache>
                <c:ptCount val="3"/>
                <c:pt idx="0">
                  <c:v>Appropriate</c:v>
                </c:pt>
                <c:pt idx="1">
                  <c:v>Appropriate (With Observations)</c:v>
                </c:pt>
                <c:pt idx="2">
                  <c:v>Inappropriate</c:v>
                </c:pt>
              </c:strCache>
            </c:strRef>
          </c:cat>
          <c:val>
            <c:numRef>
              <c:f>Sheet1!$N$4:$P$4</c:f>
              <c:numCache>
                <c:formatCode>General</c:formatCode>
                <c:ptCount val="3"/>
                <c:pt idx="0">
                  <c:v>24</c:v>
                </c:pt>
                <c:pt idx="1">
                  <c:v>2</c:v>
                </c:pt>
                <c:pt idx="2">
                  <c:v>1</c:v>
                </c:pt>
              </c:numCache>
            </c:numRef>
          </c:val>
          <c:extLst>
            <c:ext xmlns:c16="http://schemas.microsoft.com/office/drawing/2014/chart" uri="{C3380CC4-5D6E-409C-BE32-E72D297353CC}">
              <c16:uniqueId val="{00000006-2D2D-2E43-916E-0AA165928B9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Sheet1!$G$11:$J$11</c:f>
              <c:strCache>
                <c:ptCount val="4"/>
                <c:pt idx="0">
                  <c:v>Barnsley</c:v>
                </c:pt>
                <c:pt idx="1">
                  <c:v>Doncaster</c:v>
                </c:pt>
                <c:pt idx="2">
                  <c:v>Rotherham</c:v>
                </c:pt>
                <c:pt idx="3">
                  <c:v>Sheffield</c:v>
                </c:pt>
              </c:strCache>
            </c:strRef>
          </c:cat>
          <c:val>
            <c:numRef>
              <c:f>Sheet1!$G$12:$J$12</c:f>
              <c:numCache>
                <c:formatCode>General</c:formatCode>
                <c:ptCount val="4"/>
                <c:pt idx="2">
                  <c:v>1</c:v>
                </c:pt>
              </c:numCache>
            </c:numRef>
          </c:val>
          <c:extLst>
            <c:ext xmlns:c16="http://schemas.microsoft.com/office/drawing/2014/chart" uri="{C3380CC4-5D6E-409C-BE32-E72D297353CC}">
              <c16:uniqueId val="{00000000-A9BA-044B-8524-D5B8748917AD}"/>
            </c:ext>
          </c:extLst>
        </c:ser>
        <c:dLbls>
          <c:showLegendKey val="0"/>
          <c:showVal val="0"/>
          <c:showCatName val="0"/>
          <c:showSerName val="0"/>
          <c:showPercent val="0"/>
          <c:showBubbleSize val="0"/>
        </c:dLbls>
        <c:gapWidth val="182"/>
        <c:axId val="319971176"/>
        <c:axId val="319971568"/>
      </c:barChart>
      <c:catAx>
        <c:axId val="319971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971568"/>
        <c:crosses val="autoZero"/>
        <c:auto val="1"/>
        <c:lblAlgn val="ctr"/>
        <c:lblOffset val="100"/>
        <c:noMultiLvlLbl val="0"/>
      </c:catAx>
      <c:valAx>
        <c:axId val="319971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3199711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CLEMENTS</dc:creator>
  <cp:keywords/>
  <dc:description/>
  <cp:lastModifiedBy>Sarah Wilson - SC3888</cp:lastModifiedBy>
  <cp:revision>5</cp:revision>
  <dcterms:created xsi:type="dcterms:W3CDTF">2024-09-06T09:57:00Z</dcterms:created>
  <dcterms:modified xsi:type="dcterms:W3CDTF">2026-05-11T07:53:00Z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2023-03-01T08:53:19Z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d9c3df2c-36b5-4f39-b04a-0eccdfbafdb7</vt:lpwstr>
  </property>
  <property fmtid="{D5CDD505-2E9C-101B-9397-08002B2CF9AE}" pid="8" name="MSIP_Label_f529d828-a824-4b78-ab24-eaae5922aa38_ContentBits">
    <vt:lpwstr>0</vt:lpwstr>
  </property>
</Properties>
</file>